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971490" w14:textId="09B70523" w:rsidR="00E82C4D" w:rsidRPr="006709C4" w:rsidRDefault="00E82C4D" w:rsidP="570E325A">
      <w:pPr>
        <w:jc w:val="center"/>
        <w:rPr>
          <w:rFonts w:ascii="Arial" w:eastAsia="Verdana" w:hAnsi="Arial" w:cs="Arial"/>
          <w:b/>
          <w:bCs/>
          <w:sz w:val="28"/>
          <w:szCs w:val="28"/>
        </w:rPr>
      </w:pPr>
      <w:bookmarkStart w:id="0" w:name="_GoBack"/>
      <w:bookmarkEnd w:id="0"/>
      <w:r w:rsidRPr="006709C4">
        <w:rPr>
          <w:rFonts w:ascii="Arial" w:eastAsia="Verdana" w:hAnsi="Arial" w:cs="Arial"/>
          <w:b/>
          <w:bCs/>
          <w:sz w:val="28"/>
          <w:szCs w:val="28"/>
        </w:rPr>
        <w:t xml:space="preserve">APPENDIX: </w:t>
      </w:r>
      <w:r w:rsidR="2AF8060D" w:rsidRPr="006709C4">
        <w:rPr>
          <w:rFonts w:ascii="Arial" w:eastAsia="Verdana" w:hAnsi="Arial" w:cs="Arial"/>
          <w:b/>
          <w:bCs/>
          <w:sz w:val="28"/>
          <w:szCs w:val="28"/>
        </w:rPr>
        <w:t>GENDER PAY GAP</w:t>
      </w:r>
      <w:r w:rsidRPr="006709C4">
        <w:rPr>
          <w:rFonts w:ascii="Arial" w:eastAsia="Verdana" w:hAnsi="Arial" w:cs="Arial"/>
          <w:b/>
          <w:bCs/>
          <w:sz w:val="28"/>
          <w:szCs w:val="28"/>
        </w:rPr>
        <w:t xml:space="preserve"> ACTION PLAN 202</w:t>
      </w:r>
      <w:r w:rsidR="6D9C9CF8" w:rsidRPr="006709C4">
        <w:rPr>
          <w:rFonts w:ascii="Arial" w:eastAsia="Verdana" w:hAnsi="Arial" w:cs="Arial"/>
          <w:b/>
          <w:bCs/>
          <w:sz w:val="28"/>
          <w:szCs w:val="28"/>
        </w:rPr>
        <w:t>4-2025</w:t>
      </w:r>
    </w:p>
    <w:p w14:paraId="4B77BE8C" w14:textId="5AFDA2C5" w:rsidR="00E82C4D" w:rsidRPr="006709C4" w:rsidRDefault="53385A46" w:rsidP="5F493D7E">
      <w:pPr>
        <w:rPr>
          <w:rFonts w:ascii="Arial" w:hAnsi="Arial" w:cs="Arial"/>
        </w:rPr>
      </w:pPr>
      <w:r w:rsidRPr="006709C4">
        <w:rPr>
          <w:rFonts w:ascii="Arial" w:hAnsi="Arial" w:cs="Arial"/>
        </w:rPr>
        <w:t xml:space="preserve">This </w:t>
      </w:r>
      <w:r w:rsidR="1AEACA1D" w:rsidRPr="006709C4">
        <w:rPr>
          <w:rFonts w:ascii="Arial" w:hAnsi="Arial" w:cs="Arial"/>
        </w:rPr>
        <w:t xml:space="preserve">action plan is built upon our ED&amp;I </w:t>
      </w:r>
      <w:r w:rsidR="2FA250E6" w:rsidRPr="006709C4">
        <w:rPr>
          <w:rFonts w:ascii="Arial" w:hAnsi="Arial" w:cs="Arial"/>
        </w:rPr>
        <w:t>S</w:t>
      </w:r>
      <w:r w:rsidR="1AEACA1D" w:rsidRPr="006709C4">
        <w:rPr>
          <w:rFonts w:ascii="Arial" w:hAnsi="Arial" w:cs="Arial"/>
        </w:rPr>
        <w:t>trategy</w:t>
      </w:r>
      <w:r w:rsidR="2F8A9D02" w:rsidRPr="006709C4">
        <w:rPr>
          <w:rFonts w:ascii="Arial" w:hAnsi="Arial" w:cs="Arial"/>
        </w:rPr>
        <w:t xml:space="preserve">, </w:t>
      </w:r>
      <w:r w:rsidR="1AEACA1D" w:rsidRPr="006709C4">
        <w:rPr>
          <w:rFonts w:ascii="Arial" w:hAnsi="Arial" w:cs="Arial"/>
        </w:rPr>
        <w:t xml:space="preserve">the NHS ED&amp;I </w:t>
      </w:r>
      <w:r w:rsidR="36A991C2" w:rsidRPr="006709C4">
        <w:rPr>
          <w:rFonts w:ascii="Arial" w:hAnsi="Arial" w:cs="Arial"/>
        </w:rPr>
        <w:t>I</w:t>
      </w:r>
      <w:r w:rsidR="1AEACA1D" w:rsidRPr="006709C4">
        <w:rPr>
          <w:rFonts w:ascii="Arial" w:hAnsi="Arial" w:cs="Arial"/>
        </w:rPr>
        <w:t xml:space="preserve">mprovement </w:t>
      </w:r>
      <w:r w:rsidR="06D7C474" w:rsidRPr="006709C4">
        <w:rPr>
          <w:rFonts w:ascii="Arial" w:hAnsi="Arial" w:cs="Arial"/>
        </w:rPr>
        <w:t>P</w:t>
      </w:r>
      <w:r w:rsidR="1AEACA1D" w:rsidRPr="006709C4">
        <w:rPr>
          <w:rFonts w:ascii="Arial" w:hAnsi="Arial" w:cs="Arial"/>
        </w:rPr>
        <w:t>lan</w:t>
      </w:r>
      <w:r w:rsidR="0BC7F1DF" w:rsidRPr="006709C4">
        <w:rPr>
          <w:rFonts w:ascii="Arial" w:hAnsi="Arial" w:cs="Arial"/>
        </w:rPr>
        <w:t xml:space="preserve"> and the Mend the Gap review</w:t>
      </w:r>
      <w:r w:rsidR="2D61836D" w:rsidRPr="006709C4">
        <w:rPr>
          <w:rFonts w:ascii="Arial" w:hAnsi="Arial" w:cs="Arial"/>
        </w:rPr>
        <w:t xml:space="preserve">. </w:t>
      </w:r>
      <w:r w:rsidR="0BC7F1DF" w:rsidRPr="006709C4">
        <w:rPr>
          <w:rFonts w:ascii="Arial" w:hAnsi="Arial" w:cs="Arial"/>
        </w:rPr>
        <w:t xml:space="preserve"> </w:t>
      </w:r>
      <w:r w:rsidR="21A419C4" w:rsidRPr="006709C4">
        <w:rPr>
          <w:rFonts w:ascii="Arial" w:hAnsi="Arial" w:cs="Arial"/>
        </w:rPr>
        <w:t xml:space="preserve"> Each action will be developed into a delivery plan and monitored throughout the year, with outcomes and delivery metrics.</w:t>
      </w:r>
    </w:p>
    <w:p w14:paraId="68F1EE2F" w14:textId="5B6A0A47" w:rsidR="00E91D91" w:rsidRPr="006709C4" w:rsidRDefault="53C293B9" w:rsidP="39B83226">
      <w:pPr>
        <w:rPr>
          <w:rFonts w:ascii="Arial" w:hAnsi="Arial" w:cs="Arial"/>
          <w:color w:val="FF0000"/>
        </w:rPr>
      </w:pPr>
      <w:r w:rsidRPr="006709C4">
        <w:rPr>
          <w:rFonts w:ascii="Arial" w:hAnsi="Arial" w:cs="Arial"/>
        </w:rPr>
        <w:t xml:space="preserve">EPUT’s </w:t>
      </w:r>
      <w:r w:rsidR="1AEACA1D" w:rsidRPr="006709C4">
        <w:rPr>
          <w:rFonts w:ascii="Arial" w:hAnsi="Arial" w:cs="Arial"/>
        </w:rPr>
        <w:t xml:space="preserve">Executive Team have made a commitment to </w:t>
      </w:r>
      <w:r w:rsidR="37A212C4" w:rsidRPr="006709C4">
        <w:rPr>
          <w:rFonts w:ascii="Arial" w:hAnsi="Arial" w:cs="Arial"/>
        </w:rPr>
        <w:t xml:space="preserve">prioritising </w:t>
      </w:r>
      <w:r w:rsidR="1AEACA1D" w:rsidRPr="006709C4">
        <w:rPr>
          <w:rFonts w:ascii="Arial" w:hAnsi="Arial" w:cs="Arial"/>
        </w:rPr>
        <w:t xml:space="preserve">Equality Diversity and Inclusion </w:t>
      </w:r>
      <w:r w:rsidR="3603CB16" w:rsidRPr="006709C4">
        <w:rPr>
          <w:rFonts w:ascii="Arial" w:hAnsi="Arial" w:cs="Arial"/>
        </w:rPr>
        <w:t xml:space="preserve">through </w:t>
      </w:r>
      <w:r w:rsidR="1AEACA1D" w:rsidRPr="006709C4">
        <w:rPr>
          <w:rFonts w:ascii="Arial" w:hAnsi="Arial" w:cs="Arial"/>
        </w:rPr>
        <w:t>driving transformational work through their directorates, policies and work streams. This approach will make positive changes to the</w:t>
      </w:r>
      <w:r w:rsidR="1AEACA1D" w:rsidRPr="006709C4">
        <w:rPr>
          <w:rFonts w:ascii="Arial" w:hAnsi="Arial" w:cs="Arial"/>
          <w:color w:val="FF0000"/>
        </w:rPr>
        <w:t xml:space="preserve"> </w:t>
      </w:r>
      <w:r w:rsidR="1AEACA1D" w:rsidRPr="006709C4">
        <w:rPr>
          <w:rFonts w:ascii="Arial" w:hAnsi="Arial" w:cs="Arial"/>
        </w:rPr>
        <w:t>culture of EPUT and lead to greater equity for all staff. Progress against these actions will be driven through the Equality and Inclusion Sub Committee</w:t>
      </w:r>
      <w:r w:rsidR="13D4127E" w:rsidRPr="006709C4">
        <w:rPr>
          <w:rFonts w:ascii="Arial" w:hAnsi="Arial" w:cs="Arial"/>
        </w:rPr>
        <w:t xml:space="preserve">, the Gender Equality Network, </w:t>
      </w:r>
      <w:r w:rsidR="1AEACA1D" w:rsidRPr="006709C4">
        <w:rPr>
          <w:rFonts w:ascii="Arial" w:hAnsi="Arial" w:cs="Arial"/>
        </w:rPr>
        <w:t>and the E</w:t>
      </w:r>
      <w:r w:rsidR="47435A80" w:rsidRPr="006709C4">
        <w:rPr>
          <w:rFonts w:ascii="Arial" w:hAnsi="Arial" w:cs="Arial"/>
        </w:rPr>
        <w:t xml:space="preserve">thnic </w:t>
      </w:r>
      <w:r w:rsidR="1AEACA1D" w:rsidRPr="006709C4">
        <w:rPr>
          <w:rFonts w:ascii="Arial" w:hAnsi="Arial" w:cs="Arial"/>
        </w:rPr>
        <w:t>M</w:t>
      </w:r>
      <w:r w:rsidR="19E296B6" w:rsidRPr="006709C4">
        <w:rPr>
          <w:rFonts w:ascii="Arial" w:hAnsi="Arial" w:cs="Arial"/>
        </w:rPr>
        <w:t xml:space="preserve">inority and </w:t>
      </w:r>
      <w:r w:rsidR="1AEACA1D" w:rsidRPr="006709C4">
        <w:rPr>
          <w:rFonts w:ascii="Arial" w:hAnsi="Arial" w:cs="Arial"/>
        </w:rPr>
        <w:t>R</w:t>
      </w:r>
      <w:r w:rsidR="3CB60504" w:rsidRPr="006709C4">
        <w:rPr>
          <w:rFonts w:ascii="Arial" w:hAnsi="Arial" w:cs="Arial"/>
        </w:rPr>
        <w:t xml:space="preserve">ace </w:t>
      </w:r>
      <w:r w:rsidR="1AEACA1D" w:rsidRPr="006709C4">
        <w:rPr>
          <w:rFonts w:ascii="Arial" w:hAnsi="Arial" w:cs="Arial"/>
        </w:rPr>
        <w:t>E</w:t>
      </w:r>
      <w:r w:rsidR="0CDA2F55" w:rsidRPr="006709C4">
        <w:rPr>
          <w:rFonts w:ascii="Arial" w:hAnsi="Arial" w:cs="Arial"/>
        </w:rPr>
        <w:t xml:space="preserve">quality </w:t>
      </w:r>
      <w:r w:rsidR="1AEACA1D" w:rsidRPr="006709C4">
        <w:rPr>
          <w:rFonts w:ascii="Arial" w:hAnsi="Arial" w:cs="Arial"/>
        </w:rPr>
        <w:t>Network and assurance provided to the People Equality and Culture Committee (PECC).</w:t>
      </w:r>
    </w:p>
    <w:p w14:paraId="3160ADB3" w14:textId="77777777" w:rsidR="006709C4" w:rsidRPr="006709C4" w:rsidRDefault="006709C4" w:rsidP="006709C4">
      <w:pPr>
        <w:rPr>
          <w:rFonts w:ascii="Arial" w:hAnsi="Arial" w:cs="Arial"/>
          <w:b/>
        </w:rPr>
      </w:pPr>
    </w:p>
    <w:p w14:paraId="4FC645DA" w14:textId="2F06A8F9" w:rsidR="006709C4" w:rsidRPr="006709C4" w:rsidRDefault="006709C4" w:rsidP="006709C4">
      <w:pPr>
        <w:rPr>
          <w:rFonts w:ascii="Arial" w:hAnsi="Arial" w:cs="Arial"/>
          <w:b/>
        </w:rPr>
      </w:pPr>
      <w:r w:rsidRPr="006709C4">
        <w:rPr>
          <w:rFonts w:ascii="Arial" w:hAnsi="Arial" w:cs="Arial"/>
          <w:b/>
        </w:rPr>
        <w:t>Roles and responsibilities:</w:t>
      </w:r>
    </w:p>
    <w:p w14:paraId="0472A493" w14:textId="77777777" w:rsidR="006709C4" w:rsidRPr="006709C4" w:rsidRDefault="006709C4" w:rsidP="006709C4">
      <w:pPr>
        <w:rPr>
          <w:rFonts w:ascii="Arial" w:hAnsi="Arial" w:cs="Arial"/>
          <w:b/>
        </w:rPr>
      </w:pPr>
      <w:r w:rsidRPr="006709C4">
        <w:rPr>
          <w:rFonts w:ascii="Arial" w:hAnsi="Arial" w:cs="Arial"/>
          <w:b/>
        </w:rPr>
        <w:t>Executive Directors</w:t>
      </w:r>
    </w:p>
    <w:p w14:paraId="3D204FDA" w14:textId="77777777" w:rsidR="006709C4" w:rsidRPr="006709C4" w:rsidRDefault="006709C4" w:rsidP="006709C4">
      <w:pPr>
        <w:numPr>
          <w:ilvl w:val="0"/>
          <w:numId w:val="8"/>
        </w:numPr>
        <w:rPr>
          <w:rFonts w:ascii="Arial" w:hAnsi="Arial" w:cs="Arial"/>
        </w:rPr>
      </w:pPr>
      <w:r w:rsidRPr="006709C4">
        <w:rPr>
          <w:rFonts w:ascii="Arial" w:hAnsi="Arial" w:cs="Arial"/>
        </w:rPr>
        <w:t>Executive Team accountable for the delivery of the Action Plan</w:t>
      </w:r>
    </w:p>
    <w:p w14:paraId="1BA43DBB" w14:textId="77777777" w:rsidR="006709C4" w:rsidRPr="006709C4" w:rsidRDefault="006709C4" w:rsidP="006709C4">
      <w:pPr>
        <w:numPr>
          <w:ilvl w:val="0"/>
          <w:numId w:val="8"/>
        </w:numPr>
        <w:rPr>
          <w:rFonts w:ascii="Arial" w:hAnsi="Arial" w:cs="Arial"/>
        </w:rPr>
      </w:pPr>
      <w:r w:rsidRPr="006709C4">
        <w:rPr>
          <w:rFonts w:ascii="Arial" w:hAnsi="Arial" w:cs="Arial"/>
        </w:rPr>
        <w:t>Sponsor and drive the implementation of these actions and provide support to ensure their delivery</w:t>
      </w:r>
    </w:p>
    <w:p w14:paraId="06E0F91E" w14:textId="77777777" w:rsidR="006709C4" w:rsidRPr="006709C4" w:rsidRDefault="006709C4" w:rsidP="006709C4">
      <w:pPr>
        <w:numPr>
          <w:ilvl w:val="0"/>
          <w:numId w:val="8"/>
        </w:numPr>
        <w:rPr>
          <w:rFonts w:ascii="Arial" w:hAnsi="Arial" w:cs="Arial"/>
        </w:rPr>
      </w:pPr>
      <w:r w:rsidRPr="006709C4">
        <w:rPr>
          <w:rFonts w:ascii="Arial" w:hAnsi="Arial" w:cs="Arial"/>
        </w:rPr>
        <w:t>Allocate appropriate resources to ensure that responsible teams are able to deliver effectively</w:t>
      </w:r>
    </w:p>
    <w:p w14:paraId="7FC1A0A1" w14:textId="77777777" w:rsidR="006709C4" w:rsidRPr="006709C4" w:rsidRDefault="006709C4" w:rsidP="006709C4">
      <w:pPr>
        <w:numPr>
          <w:ilvl w:val="0"/>
          <w:numId w:val="8"/>
        </w:numPr>
        <w:rPr>
          <w:rFonts w:ascii="Arial" w:hAnsi="Arial" w:cs="Arial"/>
        </w:rPr>
      </w:pPr>
      <w:r w:rsidRPr="006709C4">
        <w:rPr>
          <w:rFonts w:ascii="Arial" w:hAnsi="Arial" w:cs="Arial"/>
        </w:rPr>
        <w:t>Sponsor the staff networks and attend meetings regularly to increase engagement with staff across the Trust.</w:t>
      </w:r>
    </w:p>
    <w:p w14:paraId="423C2B30" w14:textId="64F46CB0" w:rsidR="006709C4" w:rsidRPr="006709C4" w:rsidRDefault="006709C4" w:rsidP="006709C4">
      <w:pPr>
        <w:numPr>
          <w:ilvl w:val="0"/>
          <w:numId w:val="8"/>
        </w:numPr>
        <w:rPr>
          <w:rFonts w:ascii="Arial" w:hAnsi="Arial" w:cs="Arial"/>
        </w:rPr>
      </w:pPr>
      <w:r w:rsidRPr="006709C4">
        <w:rPr>
          <w:rFonts w:ascii="Arial" w:hAnsi="Arial" w:cs="Arial"/>
        </w:rPr>
        <w:t>Ensure that ED&amp;I is at the heart of executive decision making for staff and patients.</w:t>
      </w:r>
    </w:p>
    <w:p w14:paraId="3D7E18D6" w14:textId="4FA4AA0F" w:rsidR="570E325A" w:rsidRPr="006709C4" w:rsidRDefault="570E325A" w:rsidP="570E325A">
      <w:pPr>
        <w:rPr>
          <w:rFonts w:ascii="Arial" w:hAnsi="Arial" w:cs="Arial"/>
        </w:rPr>
      </w:pPr>
    </w:p>
    <w:p w14:paraId="44AE3419" w14:textId="26C00487" w:rsidR="570E325A" w:rsidRPr="006709C4" w:rsidRDefault="570E325A" w:rsidP="570E325A">
      <w:pPr>
        <w:rPr>
          <w:rFonts w:ascii="Arial" w:hAnsi="Arial" w:cs="Arial"/>
        </w:rPr>
      </w:pPr>
    </w:p>
    <w:p w14:paraId="45B59F59" w14:textId="04F23738" w:rsidR="5CE0518B" w:rsidRPr="006709C4" w:rsidRDefault="5CE0518B" w:rsidP="5CE0518B">
      <w:pPr>
        <w:rPr>
          <w:rFonts w:ascii="Arial" w:hAnsi="Arial" w:cs="Arial"/>
        </w:rPr>
      </w:pPr>
    </w:p>
    <w:p w14:paraId="34AB3EBA" w14:textId="7D867162" w:rsidR="570E325A" w:rsidRPr="006709C4" w:rsidRDefault="570E325A" w:rsidP="570E325A">
      <w:pPr>
        <w:rPr>
          <w:rFonts w:ascii="Arial" w:hAnsi="Arial" w:cs="Arial"/>
        </w:rPr>
      </w:pPr>
    </w:p>
    <w:p w14:paraId="29B8C19A" w14:textId="2FE7F44F" w:rsidR="006A21DD" w:rsidRPr="006709C4" w:rsidRDefault="006A21DD" w:rsidP="570E325A">
      <w:pPr>
        <w:rPr>
          <w:rFonts w:ascii="Arial" w:hAnsi="Arial" w:cs="Arial"/>
        </w:rPr>
      </w:pPr>
    </w:p>
    <w:p w14:paraId="7094397D" w14:textId="016E527F" w:rsidR="006A21DD" w:rsidRPr="006709C4" w:rsidRDefault="006A21DD" w:rsidP="570E325A">
      <w:pPr>
        <w:rPr>
          <w:rFonts w:ascii="Arial" w:hAnsi="Arial" w:cs="Arial"/>
        </w:rPr>
      </w:pPr>
    </w:p>
    <w:p w14:paraId="005F7CC6" w14:textId="6A4278F7" w:rsidR="006A21DD" w:rsidRPr="006709C4" w:rsidRDefault="006A21DD" w:rsidP="570E325A">
      <w:pPr>
        <w:rPr>
          <w:rFonts w:ascii="Arial" w:hAnsi="Arial" w:cs="Arial"/>
        </w:rPr>
      </w:pPr>
    </w:p>
    <w:p w14:paraId="13279A8C" w14:textId="7160AFC5" w:rsidR="006A21DD" w:rsidRPr="006709C4" w:rsidRDefault="006A21DD" w:rsidP="570E325A">
      <w:pPr>
        <w:rPr>
          <w:rFonts w:ascii="Arial" w:hAnsi="Arial" w:cs="Arial"/>
        </w:rPr>
      </w:pPr>
    </w:p>
    <w:p w14:paraId="73E16FAF" w14:textId="7895AA4A" w:rsidR="39B83226" w:rsidRPr="006709C4" w:rsidRDefault="39B83226" w:rsidP="39B83226">
      <w:pPr>
        <w:rPr>
          <w:rFonts w:ascii="Arial" w:hAnsi="Arial" w:cs="Arial"/>
        </w:rPr>
      </w:pPr>
    </w:p>
    <w:p w14:paraId="71340886" w14:textId="2A1AB38F" w:rsidR="007D36AC" w:rsidRPr="006709C4" w:rsidRDefault="007D36AC" w:rsidP="39B83226">
      <w:pPr>
        <w:rPr>
          <w:rFonts w:ascii="Arial" w:hAnsi="Arial" w:cs="Arial"/>
        </w:rPr>
      </w:pPr>
    </w:p>
    <w:tbl>
      <w:tblPr>
        <w:tblStyle w:val="TableGrid"/>
        <w:tblW w:w="16155" w:type="dxa"/>
        <w:tblLayout w:type="fixed"/>
        <w:tblLook w:val="06A0" w:firstRow="1" w:lastRow="0" w:firstColumn="1" w:lastColumn="0" w:noHBand="1" w:noVBand="1"/>
      </w:tblPr>
      <w:tblGrid>
        <w:gridCol w:w="2310"/>
        <w:gridCol w:w="6630"/>
        <w:gridCol w:w="5175"/>
        <w:gridCol w:w="2040"/>
      </w:tblGrid>
      <w:tr w:rsidR="570E325A" w:rsidRPr="006709C4" w14:paraId="710579AD" w14:textId="77777777" w:rsidTr="2A35AA74">
        <w:trPr>
          <w:trHeight w:val="300"/>
        </w:trPr>
        <w:tc>
          <w:tcPr>
            <w:tcW w:w="2310" w:type="dxa"/>
            <w:shd w:val="clear" w:color="auto" w:fill="D9E2F3" w:themeFill="accent5" w:themeFillTint="33"/>
          </w:tcPr>
          <w:p w14:paraId="37C5880C" w14:textId="765FBB74" w:rsidR="570E325A" w:rsidRPr="006709C4" w:rsidRDefault="2F8962DD" w:rsidP="6C4A4572">
            <w:pPr>
              <w:spacing w:line="259" w:lineRule="auto"/>
              <w:ind w:left="-20" w:right="-20"/>
              <w:jc w:val="center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b/>
                <w:bCs/>
                <w:color w:val="000000" w:themeColor="text1"/>
              </w:rPr>
              <w:t>High Impact Action</w:t>
            </w:r>
          </w:p>
        </w:tc>
        <w:tc>
          <w:tcPr>
            <w:tcW w:w="6630" w:type="dxa"/>
            <w:tcBorders>
              <w:right w:val="single" w:sz="12" w:space="0" w:color="000000" w:themeColor="text1"/>
            </w:tcBorders>
            <w:shd w:val="clear" w:color="auto" w:fill="D9E2F3" w:themeFill="accent5" w:themeFillTint="33"/>
          </w:tcPr>
          <w:p w14:paraId="4E9201B7" w14:textId="05791A24" w:rsidR="570E325A" w:rsidRPr="006709C4" w:rsidRDefault="3AF77C74" w:rsidP="7DB260B0">
            <w:pPr>
              <w:spacing w:line="259" w:lineRule="auto"/>
              <w:ind w:left="-20" w:right="-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b/>
                <w:bCs/>
                <w:color w:val="000000" w:themeColor="text1"/>
              </w:rPr>
              <w:t>Progress</w:t>
            </w:r>
            <w:r w:rsidR="205860D4" w:rsidRPr="006709C4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to date</w:t>
            </w:r>
            <w:r w:rsidRPr="006709C4">
              <w:rPr>
                <w:rFonts w:ascii="Arial" w:eastAsia="Calibri" w:hAnsi="Arial" w:cs="Arial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5" w:themeFillTint="33"/>
          </w:tcPr>
          <w:p w14:paraId="7FB53C22" w14:textId="2138550A" w:rsidR="570E325A" w:rsidRPr="006709C4" w:rsidRDefault="75E38FAB" w:rsidP="6C4A4572">
            <w:pPr>
              <w:ind w:left="-20" w:right="-20"/>
              <w:jc w:val="center"/>
              <w:rPr>
                <w:rFonts w:ascii="Arial" w:eastAsia="Calibri" w:hAnsi="Arial" w:cs="Arial"/>
                <w:b/>
                <w:bCs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b/>
                <w:bCs/>
                <w:color w:val="000000" w:themeColor="text1"/>
              </w:rPr>
              <w:t>Next Steps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D9E2F3" w:themeFill="accent5" w:themeFillTint="33"/>
          </w:tcPr>
          <w:p w14:paraId="2E34A9CC" w14:textId="09353B96" w:rsidR="570E325A" w:rsidRPr="006709C4" w:rsidRDefault="570E325A" w:rsidP="570E325A">
            <w:pPr>
              <w:ind w:left="-20" w:right="-20"/>
              <w:jc w:val="center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b/>
                <w:bCs/>
                <w:color w:val="000000" w:themeColor="text1"/>
              </w:rPr>
              <w:t>Timescale</w:t>
            </w:r>
          </w:p>
        </w:tc>
      </w:tr>
      <w:tr w:rsidR="00AA7C7D" w:rsidRPr="006709C4" w14:paraId="114B53B2" w14:textId="77777777" w:rsidTr="2A35AA74">
        <w:trPr>
          <w:trHeight w:val="3258"/>
        </w:trPr>
        <w:tc>
          <w:tcPr>
            <w:tcW w:w="2310" w:type="dxa"/>
            <w:shd w:val="clear" w:color="auto" w:fill="FFFFFF" w:themeFill="background1"/>
          </w:tcPr>
          <w:p w14:paraId="36EE37B6" w14:textId="54052F3A" w:rsidR="00AA7C7D" w:rsidRPr="006709C4" w:rsidRDefault="00AA7C7D" w:rsidP="570E325A">
            <w:pPr>
              <w:jc w:val="center"/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Promoting a flexible working culture</w:t>
            </w:r>
          </w:p>
        </w:tc>
        <w:tc>
          <w:tcPr>
            <w:tcW w:w="663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3A448865" w14:textId="77777777" w:rsidR="00AA7C7D" w:rsidRPr="006709C4" w:rsidRDefault="00AA7C7D" w:rsidP="00AA7C7D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Implemented a policy that ensures all staff have a right to request flexible working.</w:t>
            </w:r>
          </w:p>
          <w:p w14:paraId="6B15D0A5" w14:textId="77777777" w:rsidR="00AA7C7D" w:rsidRPr="006709C4" w:rsidRDefault="00AA7C7D" w:rsidP="5F493D7E">
            <w:pPr>
              <w:rPr>
                <w:rFonts w:ascii="Arial" w:eastAsia="Calibri" w:hAnsi="Arial" w:cs="Arial"/>
                <w:color w:val="000000" w:themeColor="text1"/>
              </w:rPr>
            </w:pPr>
          </w:p>
          <w:p w14:paraId="41BD83F6" w14:textId="77777777" w:rsidR="00AA7C7D" w:rsidRPr="006709C4" w:rsidRDefault="00AA7C7D" w:rsidP="00AA7C7D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Regularly promoted flexible working to all staff in the Trust – these include promotion through: </w:t>
            </w:r>
          </w:p>
          <w:p w14:paraId="73CE0B95" w14:textId="3F251CBB" w:rsidR="00AA7C7D" w:rsidRPr="006709C4" w:rsidRDefault="00AA7C7D" w:rsidP="0088064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internal communications </w:t>
            </w:r>
          </w:p>
          <w:p w14:paraId="09463231" w14:textId="3926C63F" w:rsidR="00AA7C7D" w:rsidRPr="006709C4" w:rsidRDefault="5B9553DB" w:rsidP="00973EC2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recruitment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 xml:space="preserve"> campaigns </w:t>
            </w:r>
          </w:p>
          <w:p w14:paraId="2B7D8365" w14:textId="5EA80945" w:rsidR="00AA7C7D" w:rsidRPr="006709C4" w:rsidRDefault="00AA7C7D" w:rsidP="0023548F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Employee Experience Managers </w:t>
            </w:r>
          </w:p>
          <w:p w14:paraId="0EA58DB5" w14:textId="50705D42" w:rsidR="00AA7C7D" w:rsidRPr="006709C4" w:rsidRDefault="00AA7C7D" w:rsidP="00A53726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Engagement Champion events </w:t>
            </w:r>
          </w:p>
          <w:p w14:paraId="60049F9C" w14:textId="77777777" w:rsidR="00AA7C7D" w:rsidRPr="006709C4" w:rsidRDefault="00AA7C7D" w:rsidP="00AA7C7D">
            <w:pPr>
              <w:pStyle w:val="ListParagraph"/>
              <w:numPr>
                <w:ilvl w:val="0"/>
                <w:numId w:val="7"/>
              </w:numPr>
              <w:ind w:left="108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international recruitment on boarding sessions </w:t>
            </w:r>
          </w:p>
          <w:p w14:paraId="2C6C15CA" w14:textId="77777777" w:rsidR="00AA7C7D" w:rsidRPr="006709C4" w:rsidRDefault="00AA7C7D" w:rsidP="00AA7C7D">
            <w:pPr>
              <w:pStyle w:val="ListParagraph"/>
              <w:rPr>
                <w:rFonts w:ascii="Arial" w:eastAsia="Calibri" w:hAnsi="Arial" w:cs="Arial"/>
                <w:color w:val="000000" w:themeColor="text1"/>
              </w:rPr>
            </w:pPr>
          </w:p>
          <w:p w14:paraId="7A6B2A2D" w14:textId="169824D6" w:rsidR="00AA7C7D" w:rsidRPr="006709C4" w:rsidRDefault="72F346C4" w:rsidP="00AA7C7D">
            <w:pPr>
              <w:pStyle w:val="ListParagraph"/>
              <w:numPr>
                <w:ilvl w:val="0"/>
                <w:numId w:val="7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Reviewed and reported grievances</w:t>
            </w:r>
            <w:r w:rsidR="727F60BB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includ</w:t>
            </w:r>
            <w:r w:rsidR="4D56B160" w:rsidRPr="006709C4">
              <w:rPr>
                <w:rFonts w:ascii="Arial" w:eastAsia="Calibri" w:hAnsi="Arial" w:cs="Arial"/>
                <w:color w:val="000000" w:themeColor="text1"/>
              </w:rPr>
              <w:t>ing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concerns relating to flexible working requests, broken down by gender and race, with appropriate action taken.</w:t>
            </w: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796CA543" w14:textId="550D9750" w:rsidR="00AA7C7D" w:rsidRPr="006709C4" w:rsidRDefault="72F346C4" w:rsidP="5F493D7E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Include flexible working awareness sessions in health and wellbeing </w:t>
            </w:r>
            <w:r w:rsidR="7E3B0D84" w:rsidRPr="006709C4">
              <w:rPr>
                <w:rFonts w:ascii="Arial" w:eastAsia="Calibri" w:hAnsi="Arial" w:cs="Arial"/>
                <w:color w:val="000000" w:themeColor="text1"/>
              </w:rPr>
              <w:t xml:space="preserve">events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to address cultural barriers associated with flexible working</w:t>
            </w:r>
            <w:r w:rsidR="57C70F11" w:rsidRPr="006709C4">
              <w:rPr>
                <w:rFonts w:ascii="Arial" w:eastAsia="Calibri" w:hAnsi="Arial" w:cs="Arial"/>
                <w:color w:val="000000" w:themeColor="text1"/>
              </w:rPr>
              <w:t xml:space="preserve"> to help with reducing the pay gap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3D1DCE72" w14:textId="3EDDD254" w:rsidR="00AA7C7D" w:rsidRPr="006709C4" w:rsidRDefault="00AA7C7D" w:rsidP="5F493D7E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</w:p>
          <w:p w14:paraId="1C18F675" w14:textId="46A337A9" w:rsidR="00AA7C7D" w:rsidRPr="006709C4" w:rsidRDefault="1DCE3041" w:rsidP="5F493D7E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Work with managers to understand what additional guidance </w:t>
            </w:r>
            <w:r w:rsidR="7DA4D4FB" w:rsidRPr="006709C4">
              <w:rPr>
                <w:rFonts w:ascii="Arial" w:eastAsia="Calibri" w:hAnsi="Arial" w:cs="Arial"/>
                <w:color w:val="000000" w:themeColor="text1"/>
              </w:rPr>
              <w:t>would help them to support their staff in seeking and securing flexible working arrangements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23924949" w14:textId="62C9BE61" w:rsidR="00AA7C7D" w:rsidRPr="006709C4" w:rsidRDefault="00AA7C7D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May 2024</w:t>
            </w:r>
          </w:p>
        </w:tc>
      </w:tr>
      <w:tr w:rsidR="570E325A" w:rsidRPr="006709C4" w14:paraId="50BEAAD7" w14:textId="77777777" w:rsidTr="2A35AA74">
        <w:trPr>
          <w:trHeight w:val="300"/>
        </w:trPr>
        <w:tc>
          <w:tcPr>
            <w:tcW w:w="2310" w:type="dxa"/>
            <w:vMerge w:val="restart"/>
            <w:shd w:val="clear" w:color="auto" w:fill="FFFFFF" w:themeFill="background1"/>
          </w:tcPr>
          <w:p w14:paraId="70B10CF2" w14:textId="3D85D1B7" w:rsidR="51A65A15" w:rsidRPr="006709C4" w:rsidRDefault="51A65A15" w:rsidP="570E325A">
            <w:pPr>
              <w:jc w:val="center"/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Embedding fair and inclusive recruitment processes and talent management strategies that target under-representation and lack of diversity</w:t>
            </w:r>
          </w:p>
        </w:tc>
        <w:tc>
          <w:tcPr>
            <w:tcW w:w="6630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13F2718F" w14:textId="600B798F" w:rsidR="570E325A" w:rsidRPr="006709C4" w:rsidRDefault="63F41681" w:rsidP="7DB260B0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Successfully launch</w:t>
            </w:r>
            <w:r w:rsidR="7D46DD65" w:rsidRPr="006709C4">
              <w:rPr>
                <w:rFonts w:ascii="Arial" w:eastAsia="Calibri" w:hAnsi="Arial" w:cs="Arial"/>
                <w:color w:val="000000" w:themeColor="text1"/>
              </w:rPr>
              <w:t>ed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1D6B482" w:rsidRPr="006709C4">
              <w:rPr>
                <w:rFonts w:ascii="Arial" w:eastAsia="Calibri" w:hAnsi="Arial" w:cs="Arial"/>
                <w:color w:val="000000" w:themeColor="text1"/>
              </w:rPr>
              <w:t xml:space="preserve">a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recruitment de-bias toolkit and </w:t>
            </w:r>
            <w:r w:rsidR="5629C980" w:rsidRPr="006709C4">
              <w:rPr>
                <w:rFonts w:ascii="Arial" w:eastAsia="Calibri" w:hAnsi="Arial" w:cs="Arial"/>
                <w:color w:val="000000" w:themeColor="text1"/>
              </w:rPr>
              <w:t xml:space="preserve">an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inclusion </w:t>
            </w:r>
            <w:bookmarkStart w:id="1" w:name="_Int_9iIZK83L"/>
            <w:r w:rsidRPr="006709C4">
              <w:rPr>
                <w:rFonts w:ascii="Arial" w:eastAsia="Calibri" w:hAnsi="Arial" w:cs="Arial"/>
                <w:color w:val="000000" w:themeColor="text1"/>
              </w:rPr>
              <w:t>ambassadors</w:t>
            </w:r>
            <w:bookmarkEnd w:id="1"/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scheme to ensure a fair and inclusive </w:t>
            </w:r>
            <w:r w:rsidR="3A29A782" w:rsidRPr="006709C4">
              <w:rPr>
                <w:rFonts w:ascii="Arial" w:eastAsia="Calibri" w:hAnsi="Arial" w:cs="Arial"/>
                <w:color w:val="000000" w:themeColor="text1"/>
              </w:rPr>
              <w:t xml:space="preserve">recruitment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process.</w:t>
            </w:r>
          </w:p>
          <w:p w14:paraId="697378D5" w14:textId="716F9EB4" w:rsidR="39B83226" w:rsidRPr="006709C4" w:rsidRDefault="39B83226" w:rsidP="39B83226">
            <w:pPr>
              <w:pStyle w:val="ListParagraph"/>
              <w:rPr>
                <w:rFonts w:ascii="Arial" w:eastAsia="Calibri" w:hAnsi="Arial" w:cs="Arial"/>
              </w:rPr>
            </w:pPr>
          </w:p>
          <w:p w14:paraId="4C8D42A0" w14:textId="02A5A173" w:rsidR="570E325A" w:rsidRPr="006709C4" w:rsidRDefault="3701006B" w:rsidP="39B83226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Ensured that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wherever practicable, all applicants who meet the </w:t>
            </w:r>
            <w:r w:rsidR="47DE3FB8" w:rsidRPr="006709C4">
              <w:rPr>
                <w:rFonts w:ascii="Arial" w:eastAsia="Calibri" w:hAnsi="Arial" w:cs="Arial"/>
                <w:color w:val="000000" w:themeColor="text1"/>
              </w:rPr>
              <w:t>essential criteria were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shortlisted</w:t>
            </w:r>
            <w:r w:rsidR="28053050" w:rsidRPr="006709C4">
              <w:rPr>
                <w:rFonts w:ascii="Arial" w:eastAsia="Calibri" w:hAnsi="Arial" w:cs="Arial"/>
                <w:color w:val="000000" w:themeColor="text1"/>
              </w:rPr>
              <w:t xml:space="preserve"> for interview</w:t>
            </w:r>
          </w:p>
          <w:p w14:paraId="5281500B" w14:textId="77777777" w:rsidR="00AA7C7D" w:rsidRPr="006709C4" w:rsidRDefault="00AA7C7D" w:rsidP="00AA7C7D">
            <w:pPr>
              <w:pStyle w:val="ListParagraph"/>
              <w:rPr>
                <w:rFonts w:ascii="Arial" w:eastAsia="Calibri" w:hAnsi="Arial" w:cs="Arial"/>
              </w:rPr>
            </w:pPr>
          </w:p>
          <w:p w14:paraId="2078C301" w14:textId="5A7665F9" w:rsidR="00F36545" w:rsidRPr="006709C4" w:rsidRDefault="63F41681" w:rsidP="39B83226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Mi</w:t>
            </w:r>
            <w:r w:rsidR="47DE3FB8" w:rsidRPr="006709C4">
              <w:rPr>
                <w:rFonts w:ascii="Arial" w:eastAsia="Calibri" w:hAnsi="Arial" w:cs="Arial"/>
                <w:color w:val="000000" w:themeColor="text1"/>
              </w:rPr>
              <w:t>nimised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the use of local pay agreements by increasing the recruitment of senior managers on the Agenda for Change (</w:t>
            </w:r>
            <w:proofErr w:type="spellStart"/>
            <w:r w:rsidRPr="006709C4">
              <w:rPr>
                <w:rFonts w:ascii="Arial" w:eastAsia="Calibri" w:hAnsi="Arial" w:cs="Arial"/>
                <w:color w:val="000000" w:themeColor="text1"/>
              </w:rPr>
              <w:t>AfC</w:t>
            </w:r>
            <w:proofErr w:type="spellEnd"/>
            <w:r w:rsidRPr="006709C4">
              <w:rPr>
                <w:rFonts w:ascii="Arial" w:eastAsia="Calibri" w:hAnsi="Arial" w:cs="Arial"/>
                <w:color w:val="000000" w:themeColor="text1"/>
              </w:rPr>
              <w:t>) Band 9 scale</w:t>
            </w:r>
            <w:r w:rsidR="21F21BF2" w:rsidRPr="006709C4">
              <w:rPr>
                <w:rFonts w:ascii="Arial" w:eastAsia="Calibri" w:hAnsi="Arial" w:cs="Arial"/>
                <w:color w:val="000000" w:themeColor="text1"/>
              </w:rPr>
              <w:t>,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instead of appointing managers where pay is agreed at a local level.</w:t>
            </w:r>
          </w:p>
          <w:p w14:paraId="29A965DF" w14:textId="7D55EE78" w:rsidR="39B83226" w:rsidRPr="006709C4" w:rsidRDefault="39B83226" w:rsidP="39B83226">
            <w:pPr>
              <w:pStyle w:val="ListParagraph"/>
              <w:rPr>
                <w:rFonts w:ascii="Arial" w:eastAsia="Calibri" w:hAnsi="Arial" w:cs="Arial"/>
              </w:rPr>
            </w:pPr>
          </w:p>
          <w:p w14:paraId="2E7F0C5D" w14:textId="0609E61F" w:rsidR="570E325A" w:rsidRPr="006709C4" w:rsidRDefault="47DE3FB8" w:rsidP="7DB260B0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Separated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medical staffing data from other groups in the gender pay gap report</w:t>
            </w:r>
            <w:r w:rsidR="22E9B2BB" w:rsidRPr="006709C4">
              <w:rPr>
                <w:rFonts w:ascii="Arial" w:eastAsia="Calibri" w:hAnsi="Arial" w:cs="Arial"/>
                <w:color w:val="000000" w:themeColor="text1"/>
              </w:rPr>
              <w:t>,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to </w:t>
            </w:r>
            <w:r w:rsidR="550B4768" w:rsidRPr="006709C4">
              <w:rPr>
                <w:rFonts w:ascii="Arial" w:eastAsia="Calibri" w:hAnsi="Arial" w:cs="Arial"/>
                <w:color w:val="000000" w:themeColor="text1"/>
              </w:rPr>
              <w:t xml:space="preserve">better </w:t>
            </w:r>
            <w:r w:rsidR="4DE77019" w:rsidRPr="006709C4">
              <w:rPr>
                <w:rFonts w:ascii="Arial" w:eastAsia="Calibri" w:hAnsi="Arial" w:cs="Arial"/>
                <w:color w:val="000000" w:themeColor="text1"/>
              </w:rPr>
              <w:t xml:space="preserve">understand pay gaps specific to 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>doctors and consultants.</w:t>
            </w:r>
          </w:p>
          <w:p w14:paraId="03A3F122" w14:textId="77777777" w:rsidR="00AA7C7D" w:rsidRPr="006709C4" w:rsidRDefault="00AA7C7D" w:rsidP="00AA7C7D">
            <w:pPr>
              <w:pStyle w:val="ListParagraph"/>
              <w:rPr>
                <w:rFonts w:ascii="Arial" w:eastAsia="Calibri" w:hAnsi="Arial" w:cs="Arial"/>
              </w:rPr>
            </w:pPr>
          </w:p>
          <w:p w14:paraId="25941F7E" w14:textId="3A7482D8" w:rsidR="570E325A" w:rsidRPr="006709C4" w:rsidRDefault="008747B0" w:rsidP="7DB260B0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lastRenderedPageBreak/>
              <w:t>Reported, monitored and published</w:t>
            </w:r>
            <w:r w:rsidR="51A65A15" w:rsidRPr="006709C4">
              <w:rPr>
                <w:rFonts w:ascii="Arial" w:eastAsia="Calibri" w:hAnsi="Arial" w:cs="Arial"/>
                <w:color w:val="000000" w:themeColor="text1"/>
              </w:rPr>
              <w:t xml:space="preserve"> the gender balance of those who have been appointed to work at the Trust</w:t>
            </w:r>
            <w:r w:rsidR="73AA4763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000B3992" w14:textId="77777777" w:rsidR="00AA7C7D" w:rsidRPr="006709C4" w:rsidRDefault="00AA7C7D" w:rsidP="00AA7C7D">
            <w:pPr>
              <w:pStyle w:val="ListParagraph"/>
              <w:rPr>
                <w:rFonts w:ascii="Arial" w:eastAsia="Calibri" w:hAnsi="Arial" w:cs="Arial"/>
              </w:rPr>
            </w:pPr>
          </w:p>
          <w:p w14:paraId="7CD67AD4" w14:textId="578028B7" w:rsidR="00F36545" w:rsidRPr="006709C4" w:rsidRDefault="47DE3FB8" w:rsidP="00F36545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Facilitated, promoted and monitored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career development programmes: </w:t>
            </w:r>
          </w:p>
          <w:p w14:paraId="080C37DD" w14:textId="385F88A0" w:rsidR="00F36545" w:rsidRPr="006709C4" w:rsidRDefault="63F41681" w:rsidP="5F493D7E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Management Development Programme</w:t>
            </w:r>
          </w:p>
          <w:p w14:paraId="4AF707EF" w14:textId="52DB57FB" w:rsidR="00F36545" w:rsidRPr="006709C4" w:rsidRDefault="63F41681" w:rsidP="5F493D7E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Leadership Development </w:t>
            </w:r>
            <w:r w:rsidR="56F09B65" w:rsidRPr="006709C4">
              <w:rPr>
                <w:rFonts w:ascii="Arial" w:eastAsia="Calibri" w:hAnsi="Arial" w:cs="Arial"/>
                <w:color w:val="000000" w:themeColor="text1"/>
              </w:rPr>
              <w:t>P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rogramme</w:t>
            </w:r>
          </w:p>
          <w:p w14:paraId="22FCF1AC" w14:textId="008044CA" w:rsidR="00F36545" w:rsidRPr="006709C4" w:rsidRDefault="3142EAD2" w:rsidP="5F493D7E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RISE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Programme</w:t>
            </w:r>
          </w:p>
          <w:p w14:paraId="148467EF" w14:textId="43632553" w:rsidR="00F36545" w:rsidRPr="006709C4" w:rsidRDefault="63F41681" w:rsidP="5F493D7E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Edward Jenner</w:t>
            </w:r>
            <w:r w:rsidR="30E7FCA2" w:rsidRPr="006709C4">
              <w:rPr>
                <w:rFonts w:ascii="Arial" w:eastAsia="Calibri" w:hAnsi="Arial" w:cs="Arial"/>
                <w:color w:val="000000" w:themeColor="text1"/>
              </w:rPr>
              <w:t xml:space="preserve"> Programme</w:t>
            </w:r>
          </w:p>
          <w:p w14:paraId="050F0A12" w14:textId="4168F282" w:rsidR="00F36545" w:rsidRPr="006709C4" w:rsidRDefault="63F41681" w:rsidP="5F493D7E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Mary </w:t>
            </w:r>
            <w:proofErr w:type="spellStart"/>
            <w:r w:rsidRPr="006709C4">
              <w:rPr>
                <w:rFonts w:ascii="Arial" w:eastAsia="Calibri" w:hAnsi="Arial" w:cs="Arial"/>
                <w:color w:val="000000" w:themeColor="text1"/>
              </w:rPr>
              <w:t>Seacole</w:t>
            </w:r>
            <w:proofErr w:type="spellEnd"/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6DA75246" w:rsidRPr="006709C4">
              <w:rPr>
                <w:rFonts w:ascii="Arial" w:eastAsia="Calibri" w:hAnsi="Arial" w:cs="Arial"/>
                <w:color w:val="000000" w:themeColor="text1"/>
              </w:rPr>
              <w:t>P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rogramme</w:t>
            </w:r>
          </w:p>
          <w:p w14:paraId="02879E79" w14:textId="055B8D5A" w:rsidR="00F36545" w:rsidRPr="006709C4" w:rsidRDefault="63F41681" w:rsidP="5F493D7E">
            <w:pPr>
              <w:pStyle w:val="ListParagraph"/>
              <w:numPr>
                <w:ilvl w:val="1"/>
                <w:numId w:val="3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Elizabeth Garett Anderson Programme.</w:t>
            </w:r>
          </w:p>
          <w:p w14:paraId="27D749BF" w14:textId="77777777" w:rsidR="00F36545" w:rsidRPr="006709C4" w:rsidRDefault="00F36545" w:rsidP="00F36545">
            <w:pPr>
              <w:pStyle w:val="ListParagraph"/>
              <w:rPr>
                <w:rFonts w:ascii="Arial" w:eastAsia="Calibri" w:hAnsi="Arial" w:cs="Arial"/>
                <w:color w:val="000000" w:themeColor="text1"/>
              </w:rPr>
            </w:pPr>
          </w:p>
          <w:p w14:paraId="15989C23" w14:textId="650213C5" w:rsidR="570E325A" w:rsidRPr="006709C4" w:rsidRDefault="47DE3FB8" w:rsidP="39B83226">
            <w:pPr>
              <w:pStyle w:val="ListParagraph"/>
              <w:numPr>
                <w:ilvl w:val="0"/>
                <w:numId w:val="3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Facilitated career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development conversations with staff</w:t>
            </w:r>
            <w:r w:rsidR="36430DFE" w:rsidRPr="006709C4">
              <w:rPr>
                <w:rFonts w:ascii="Arial" w:eastAsia="Calibri" w:hAnsi="Arial" w:cs="Arial"/>
                <w:color w:val="000000" w:themeColor="text1"/>
              </w:rPr>
              <w:t>,</w:t>
            </w:r>
            <w:r w:rsidR="63F41681" w:rsidRPr="006709C4">
              <w:rPr>
                <w:rFonts w:ascii="Arial" w:eastAsia="Calibri" w:hAnsi="Arial" w:cs="Arial"/>
                <w:color w:val="000000" w:themeColor="text1"/>
              </w:rPr>
              <w:t xml:space="preserve"> informing them of relevant opportunities</w:t>
            </w:r>
            <w:r w:rsidR="73C5CBC9" w:rsidRPr="006709C4">
              <w:rPr>
                <w:rFonts w:ascii="Arial" w:eastAsia="Calibri" w:hAnsi="Arial" w:cs="Arial"/>
                <w:color w:val="000000" w:themeColor="text1"/>
              </w:rPr>
              <w:t xml:space="preserve"> to develop within the Trust</w:t>
            </w:r>
            <w:r w:rsidR="0C1631C3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4C6DE7EA" w14:textId="2361B076" w:rsidR="570E325A" w:rsidRPr="006709C4" w:rsidRDefault="5272068F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lastRenderedPageBreak/>
              <w:t>Report</w:t>
            </w:r>
            <w:r w:rsidR="570E325A" w:rsidRPr="006709C4">
              <w:rPr>
                <w:rFonts w:ascii="Arial" w:eastAsia="Calibri" w:hAnsi="Arial" w:cs="Arial"/>
                <w:color w:val="000000" w:themeColor="text1"/>
              </w:rPr>
              <w:t xml:space="preserve"> very senior manager (VSM) pay data</w:t>
            </w:r>
            <w:r w:rsidR="527EE483" w:rsidRPr="006709C4">
              <w:rPr>
                <w:rFonts w:ascii="Arial" w:eastAsia="Calibri" w:hAnsi="Arial" w:cs="Arial"/>
                <w:color w:val="000000" w:themeColor="text1"/>
              </w:rPr>
              <w:t xml:space="preserve"> separately to </w:t>
            </w:r>
            <w:r w:rsidR="570E325A" w:rsidRPr="006709C4">
              <w:rPr>
                <w:rFonts w:ascii="Arial" w:eastAsia="Calibri" w:hAnsi="Arial" w:cs="Arial"/>
                <w:color w:val="000000" w:themeColor="text1"/>
              </w:rPr>
              <w:t xml:space="preserve">other professional groups in </w:t>
            </w:r>
            <w:r w:rsidR="4967564E" w:rsidRPr="006709C4">
              <w:rPr>
                <w:rFonts w:ascii="Arial" w:eastAsia="Calibri" w:hAnsi="Arial" w:cs="Arial"/>
                <w:color w:val="000000" w:themeColor="text1"/>
              </w:rPr>
              <w:t xml:space="preserve">future </w:t>
            </w:r>
            <w:r w:rsidR="7125D901" w:rsidRPr="006709C4">
              <w:rPr>
                <w:rFonts w:ascii="Arial" w:eastAsia="Calibri" w:hAnsi="Arial" w:cs="Arial"/>
                <w:color w:val="000000" w:themeColor="text1"/>
              </w:rPr>
              <w:t>T</w:t>
            </w:r>
            <w:r w:rsidR="570E325A" w:rsidRPr="006709C4">
              <w:rPr>
                <w:rFonts w:ascii="Arial" w:eastAsia="Calibri" w:hAnsi="Arial" w:cs="Arial"/>
                <w:color w:val="000000" w:themeColor="text1"/>
              </w:rPr>
              <w:t>rust pay gap report</w:t>
            </w:r>
            <w:r w:rsidR="0C88DCE6" w:rsidRPr="006709C4">
              <w:rPr>
                <w:rFonts w:ascii="Arial" w:eastAsia="Calibri" w:hAnsi="Arial" w:cs="Arial"/>
                <w:color w:val="000000" w:themeColor="text1"/>
              </w:rPr>
              <w:t>s</w:t>
            </w:r>
            <w:r w:rsidR="570E325A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D6B6FD2" w14:textId="707837EB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March 2025</w:t>
            </w:r>
          </w:p>
        </w:tc>
      </w:tr>
      <w:tr w:rsidR="570E325A" w:rsidRPr="006709C4" w14:paraId="4B137DB8" w14:textId="77777777" w:rsidTr="2A35AA74">
        <w:trPr>
          <w:trHeight w:val="300"/>
        </w:trPr>
        <w:tc>
          <w:tcPr>
            <w:tcW w:w="2310" w:type="dxa"/>
            <w:vMerge/>
          </w:tcPr>
          <w:p w14:paraId="79067316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vMerge/>
          </w:tcPr>
          <w:p w14:paraId="67CD47EF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0DF82FA5" w14:textId="6A5FC794" w:rsidR="570E325A" w:rsidRPr="006709C4" w:rsidRDefault="6E815CCB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Report the gender</w:t>
            </w:r>
            <w:r w:rsidR="01832F60" w:rsidRPr="006709C4">
              <w:rPr>
                <w:rFonts w:ascii="Arial" w:eastAsia="Calibri" w:hAnsi="Arial" w:cs="Arial"/>
                <w:color w:val="000000" w:themeColor="text1"/>
              </w:rPr>
              <w:t xml:space="preserve"> and race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balance of </w:t>
            </w:r>
            <w:r w:rsidR="6D43B0FF" w:rsidRPr="006709C4">
              <w:rPr>
                <w:rFonts w:ascii="Arial" w:eastAsia="Calibri" w:hAnsi="Arial" w:cs="Arial"/>
                <w:color w:val="000000" w:themeColor="text1"/>
              </w:rPr>
              <w:t>candidates shortlisted</w:t>
            </w:r>
            <w:r w:rsidR="1DA58209" w:rsidRPr="006709C4">
              <w:rPr>
                <w:rFonts w:ascii="Arial" w:eastAsia="Calibri" w:hAnsi="Arial" w:cs="Arial"/>
                <w:color w:val="000000" w:themeColor="text1"/>
              </w:rPr>
              <w:t xml:space="preserve"> following a job application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.  Data to also </w:t>
            </w:r>
            <w:r w:rsidR="78458714" w:rsidRPr="006709C4">
              <w:rPr>
                <w:rFonts w:ascii="Arial" w:eastAsia="Calibri" w:hAnsi="Arial" w:cs="Arial"/>
                <w:color w:val="000000" w:themeColor="text1"/>
              </w:rPr>
              <w:t xml:space="preserve">include </w:t>
            </w:r>
            <w:r w:rsidR="106C2FD8" w:rsidRPr="006709C4">
              <w:rPr>
                <w:rFonts w:ascii="Arial" w:eastAsia="Calibri" w:hAnsi="Arial" w:cs="Arial"/>
                <w:color w:val="000000" w:themeColor="text1"/>
              </w:rPr>
              <w:t xml:space="preserve">a breakdown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down by</w:t>
            </w:r>
            <w:r w:rsidR="2A241D8A" w:rsidRPr="006709C4">
              <w:rPr>
                <w:rFonts w:ascii="Arial" w:eastAsia="Calibri" w:hAnsi="Arial" w:cs="Arial"/>
                <w:color w:val="000000" w:themeColor="text1"/>
              </w:rPr>
              <w:t xml:space="preserve"> disability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4DA6B32" w14:textId="12AAB7EF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March 2025</w:t>
            </w:r>
          </w:p>
        </w:tc>
      </w:tr>
      <w:tr w:rsidR="570E325A" w:rsidRPr="006709C4" w14:paraId="5F0DC54D" w14:textId="77777777" w:rsidTr="2A35AA74">
        <w:trPr>
          <w:trHeight w:val="330"/>
        </w:trPr>
        <w:tc>
          <w:tcPr>
            <w:tcW w:w="2310" w:type="dxa"/>
            <w:vMerge/>
          </w:tcPr>
          <w:p w14:paraId="0323383C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vMerge/>
          </w:tcPr>
          <w:p w14:paraId="7F9E9629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49499374" w14:textId="016EEC9D" w:rsidR="60EC86B7" w:rsidRPr="006709C4" w:rsidRDefault="492CF26F" w:rsidP="7DB260B0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P</w:t>
            </w:r>
            <w:r w:rsidR="6E815CCB" w:rsidRPr="006709C4">
              <w:rPr>
                <w:rFonts w:ascii="Arial" w:eastAsia="Calibri" w:hAnsi="Arial" w:cs="Arial"/>
                <w:color w:val="000000" w:themeColor="text1"/>
              </w:rPr>
              <w:t xml:space="preserve">romote career development programmes </w:t>
            </w:r>
            <w:r w:rsidR="3E7703C7" w:rsidRPr="006709C4">
              <w:rPr>
                <w:rFonts w:ascii="Arial" w:eastAsia="Calibri" w:hAnsi="Arial" w:cs="Arial"/>
                <w:color w:val="000000" w:themeColor="text1"/>
              </w:rPr>
              <w:t>to</w:t>
            </w:r>
            <w:r w:rsidR="6E815CCB" w:rsidRPr="006709C4">
              <w:rPr>
                <w:rFonts w:ascii="Arial" w:eastAsia="Calibri" w:hAnsi="Arial" w:cs="Arial"/>
                <w:color w:val="000000" w:themeColor="text1"/>
              </w:rPr>
              <w:t xml:space="preserve"> medical </w:t>
            </w:r>
            <w:r w:rsidR="06A6AD07" w:rsidRPr="006709C4">
              <w:rPr>
                <w:rFonts w:ascii="Arial" w:eastAsia="Calibri" w:hAnsi="Arial" w:cs="Arial"/>
                <w:color w:val="000000" w:themeColor="text1"/>
              </w:rPr>
              <w:t>staff</w:t>
            </w:r>
            <w:r w:rsidR="2C9C1F8D" w:rsidRPr="006709C4">
              <w:rPr>
                <w:rFonts w:ascii="Arial" w:eastAsia="Calibri" w:hAnsi="Arial" w:cs="Arial"/>
                <w:color w:val="000000" w:themeColor="text1"/>
              </w:rPr>
              <w:t>, with the aim of</w:t>
            </w:r>
            <w:r w:rsidR="54B8C46F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6E815CCB" w:rsidRPr="006709C4">
              <w:rPr>
                <w:rFonts w:ascii="Arial" w:eastAsia="Calibri" w:hAnsi="Arial" w:cs="Arial"/>
                <w:color w:val="000000" w:themeColor="text1"/>
              </w:rPr>
              <w:t>increas</w:t>
            </w:r>
            <w:r w:rsidR="4DD3CF64" w:rsidRPr="006709C4">
              <w:rPr>
                <w:rFonts w:ascii="Arial" w:eastAsia="Calibri" w:hAnsi="Arial" w:cs="Arial"/>
                <w:color w:val="000000" w:themeColor="text1"/>
              </w:rPr>
              <w:t>ing</w:t>
            </w:r>
            <w:r w:rsidR="6E815CCB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3E788DBC" w:rsidRPr="006709C4">
              <w:rPr>
                <w:rFonts w:ascii="Arial" w:eastAsia="Calibri" w:hAnsi="Arial" w:cs="Arial"/>
                <w:color w:val="000000" w:themeColor="text1"/>
              </w:rPr>
              <w:t xml:space="preserve">the </w:t>
            </w:r>
            <w:r w:rsidR="6E815CCB" w:rsidRPr="006709C4">
              <w:rPr>
                <w:rFonts w:ascii="Arial" w:eastAsia="Calibri" w:hAnsi="Arial" w:cs="Arial"/>
                <w:color w:val="000000" w:themeColor="text1"/>
              </w:rPr>
              <w:t>appointment of a senior workforce</w:t>
            </w:r>
            <w:r w:rsidR="06A6AD07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105291BA" w:rsidRPr="006709C4">
              <w:rPr>
                <w:rFonts w:ascii="Arial" w:eastAsia="Calibri" w:hAnsi="Arial" w:cs="Arial"/>
                <w:color w:val="000000" w:themeColor="text1"/>
              </w:rPr>
              <w:t xml:space="preserve">which is diverse, representative of the workforce, including those </w:t>
            </w:r>
            <w:r w:rsidR="2D2641FD" w:rsidRPr="006709C4">
              <w:rPr>
                <w:rFonts w:ascii="Arial" w:eastAsia="Calibri" w:hAnsi="Arial" w:cs="Arial"/>
                <w:color w:val="000000" w:themeColor="text1"/>
              </w:rPr>
              <w:t>with</w:t>
            </w:r>
            <w:r w:rsidR="06A6AD07" w:rsidRPr="006709C4">
              <w:rPr>
                <w:rFonts w:ascii="Arial" w:eastAsia="Calibri" w:hAnsi="Arial" w:cs="Arial"/>
                <w:color w:val="000000" w:themeColor="text1"/>
              </w:rPr>
              <w:t xml:space="preserve"> protected characteristics</w:t>
            </w:r>
            <w:r w:rsidR="6E815CCB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1E24A7E7" w14:textId="09E6558C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January 2025</w:t>
            </w:r>
          </w:p>
        </w:tc>
      </w:tr>
      <w:tr w:rsidR="570E325A" w:rsidRPr="006709C4" w14:paraId="4FD0A639" w14:textId="77777777" w:rsidTr="2A35AA74">
        <w:trPr>
          <w:trHeight w:val="300"/>
        </w:trPr>
        <w:tc>
          <w:tcPr>
            <w:tcW w:w="2310" w:type="dxa"/>
            <w:vMerge/>
          </w:tcPr>
          <w:p w14:paraId="2968A589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vMerge/>
          </w:tcPr>
          <w:p w14:paraId="6D012375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760BE036" w14:textId="2CA6E9AC" w:rsidR="3F005919" w:rsidRPr="006709C4" w:rsidRDefault="00B8239A" w:rsidP="7DB260B0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Through the Gender Equality Network, u</w:t>
            </w:r>
            <w:r w:rsidR="0C78B496" w:rsidRPr="006709C4">
              <w:rPr>
                <w:rFonts w:ascii="Arial" w:eastAsia="Calibri" w:hAnsi="Arial" w:cs="Arial"/>
                <w:color w:val="000000" w:themeColor="text1"/>
              </w:rPr>
              <w:t>tilise data from a range of listening tool</w:t>
            </w:r>
            <w:r w:rsidR="155853A9" w:rsidRPr="006709C4">
              <w:rPr>
                <w:rFonts w:ascii="Arial" w:eastAsia="Calibri" w:hAnsi="Arial" w:cs="Arial"/>
                <w:color w:val="000000" w:themeColor="text1"/>
              </w:rPr>
              <w:t xml:space="preserve">s to </w:t>
            </w:r>
            <w:r w:rsidR="310F7056" w:rsidRPr="006709C4">
              <w:rPr>
                <w:rFonts w:ascii="Arial" w:eastAsia="Calibri" w:hAnsi="Arial" w:cs="Arial"/>
                <w:color w:val="000000" w:themeColor="text1"/>
              </w:rPr>
              <w:t>inform key</w:t>
            </w:r>
            <w:r w:rsidR="0C78B496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1D3C00F7" w:rsidRPr="006709C4">
              <w:rPr>
                <w:rFonts w:ascii="Arial" w:eastAsia="Calibri" w:hAnsi="Arial" w:cs="Arial"/>
                <w:color w:val="000000" w:themeColor="text1"/>
              </w:rPr>
              <w:t>stakeholders</w:t>
            </w:r>
            <w:r w:rsidR="06965054" w:rsidRPr="006709C4">
              <w:rPr>
                <w:rFonts w:ascii="Arial" w:eastAsia="Calibri" w:hAnsi="Arial" w:cs="Arial"/>
                <w:color w:val="000000" w:themeColor="text1"/>
              </w:rPr>
              <w:t xml:space="preserve"> of barriers staff face, and how these may contribute towards </w:t>
            </w:r>
            <w:r w:rsidR="0C78B496" w:rsidRPr="006709C4">
              <w:rPr>
                <w:rFonts w:ascii="Arial" w:eastAsia="Calibri" w:hAnsi="Arial" w:cs="Arial"/>
                <w:color w:val="000000" w:themeColor="text1"/>
              </w:rPr>
              <w:t>pay gap</w:t>
            </w:r>
            <w:r w:rsidR="7231BD92" w:rsidRPr="006709C4">
              <w:rPr>
                <w:rFonts w:ascii="Arial" w:eastAsia="Calibri" w:hAnsi="Arial" w:cs="Arial"/>
                <w:color w:val="000000" w:themeColor="text1"/>
              </w:rPr>
              <w:t>s</w:t>
            </w:r>
            <w:r w:rsidR="0C78B496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02D7119D" w:rsidRPr="006709C4">
              <w:rPr>
                <w:rFonts w:ascii="Arial" w:eastAsia="Calibri" w:hAnsi="Arial" w:cs="Arial"/>
                <w:color w:val="000000" w:themeColor="text1"/>
              </w:rPr>
              <w:t xml:space="preserve">based on </w:t>
            </w:r>
            <w:r w:rsidR="4EE46331" w:rsidRPr="006709C4">
              <w:rPr>
                <w:rFonts w:ascii="Arial" w:eastAsia="Calibri" w:hAnsi="Arial" w:cs="Arial"/>
                <w:color w:val="000000" w:themeColor="text1"/>
              </w:rPr>
              <w:t xml:space="preserve">gender, race and disability. 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DEAD1F4" w14:textId="06FE64CD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June 2024</w:t>
            </w:r>
          </w:p>
        </w:tc>
      </w:tr>
      <w:tr w:rsidR="00AA7C7D" w:rsidRPr="006709C4" w14:paraId="36571D48" w14:textId="77777777" w:rsidTr="2A35AA74">
        <w:trPr>
          <w:trHeight w:val="2462"/>
        </w:trPr>
        <w:tc>
          <w:tcPr>
            <w:tcW w:w="2310" w:type="dxa"/>
            <w:vMerge/>
          </w:tcPr>
          <w:p w14:paraId="13D93A3E" w14:textId="77777777" w:rsidR="00AA7C7D" w:rsidRPr="006709C4" w:rsidRDefault="00AA7C7D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vMerge/>
          </w:tcPr>
          <w:p w14:paraId="1D335BFA" w14:textId="77777777" w:rsidR="00AA7C7D" w:rsidRPr="006709C4" w:rsidRDefault="00AA7C7D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29A46ECC" w14:textId="74AC558C" w:rsidR="00AA7C7D" w:rsidRPr="006709C4" w:rsidRDefault="035BE895" w:rsidP="00D3485F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Establish a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>Gender Equality Network</w:t>
            </w:r>
            <w:r w:rsidR="7D798452" w:rsidRPr="006709C4">
              <w:rPr>
                <w:rFonts w:ascii="Arial" w:eastAsia="Calibri" w:hAnsi="Arial" w:cs="Arial"/>
                <w:color w:val="000000" w:themeColor="text1"/>
              </w:rPr>
              <w:t xml:space="preserve">, working in partnership with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 xml:space="preserve">the Ethnic Minority and Race Equality Network </w:t>
            </w:r>
            <w:r w:rsidR="49CE3FD0" w:rsidRPr="006709C4">
              <w:rPr>
                <w:rFonts w:ascii="Arial" w:eastAsia="Calibri" w:hAnsi="Arial" w:cs="Arial"/>
                <w:color w:val="000000" w:themeColor="text1"/>
              </w:rPr>
              <w:t xml:space="preserve">and staff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>to:</w:t>
            </w:r>
          </w:p>
          <w:p w14:paraId="16FD6A8A" w14:textId="5AF79074" w:rsidR="00AA7C7D" w:rsidRPr="006709C4" w:rsidRDefault="72F346C4" w:rsidP="39B83226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address the gender and race pay gap</w:t>
            </w:r>
          </w:p>
          <w:p w14:paraId="49CE24F1" w14:textId="5F89C37E" w:rsidR="00AA7C7D" w:rsidRPr="006709C4" w:rsidRDefault="0D29153D" w:rsidP="00D3485F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e</w:t>
            </w:r>
            <w:r w:rsidR="6914F191" w:rsidRPr="006709C4">
              <w:rPr>
                <w:rFonts w:ascii="Arial" w:eastAsia="Calibri" w:hAnsi="Arial" w:cs="Arial"/>
                <w:color w:val="000000" w:themeColor="text1"/>
              </w:rPr>
              <w:t>xplore</w:t>
            </w:r>
            <w:r w:rsidR="19C44005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 xml:space="preserve">opportunities to </w:t>
            </w:r>
            <w:r w:rsidR="3C1E6984" w:rsidRPr="006709C4">
              <w:rPr>
                <w:rFonts w:ascii="Arial" w:eastAsia="Calibri" w:hAnsi="Arial" w:cs="Arial"/>
                <w:color w:val="000000" w:themeColor="text1"/>
              </w:rPr>
              <w:t xml:space="preserve">support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 xml:space="preserve">equity </w:t>
            </w:r>
            <w:r w:rsidR="61E6B878" w:rsidRPr="006709C4">
              <w:rPr>
                <w:rFonts w:ascii="Arial" w:eastAsia="Calibri" w:hAnsi="Arial" w:cs="Arial"/>
                <w:color w:val="000000" w:themeColor="text1"/>
              </w:rPr>
              <w:t xml:space="preserve">between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 xml:space="preserve">men and women </w:t>
            </w:r>
            <w:r w:rsidR="4ED401BF" w:rsidRPr="006709C4">
              <w:rPr>
                <w:rFonts w:ascii="Arial" w:eastAsia="Calibri" w:hAnsi="Arial" w:cs="Arial"/>
                <w:color w:val="000000" w:themeColor="text1"/>
              </w:rPr>
              <w:t xml:space="preserve">being represented in </w:t>
            </w:r>
            <w:r w:rsidR="72F346C4" w:rsidRPr="006709C4">
              <w:rPr>
                <w:rFonts w:ascii="Arial" w:eastAsia="Calibri" w:hAnsi="Arial" w:cs="Arial"/>
                <w:color w:val="000000" w:themeColor="text1"/>
              </w:rPr>
              <w:t>leadership roles</w:t>
            </w:r>
          </w:p>
          <w:p w14:paraId="54B56F8F" w14:textId="732ECCBC" w:rsidR="00AA7C7D" w:rsidRPr="006709C4" w:rsidRDefault="72F346C4" w:rsidP="00D3485F">
            <w:pPr>
              <w:pStyle w:val="ListParagraph"/>
              <w:numPr>
                <w:ilvl w:val="0"/>
                <w:numId w:val="6"/>
              </w:numPr>
              <w:ind w:right="-20"/>
              <w:rPr>
                <w:rFonts w:ascii="Arial" w:hAnsi="Arial" w:cs="Arial"/>
              </w:rPr>
            </w:pPr>
            <w:proofErr w:type="gramStart"/>
            <w:r w:rsidRPr="006709C4">
              <w:rPr>
                <w:rFonts w:ascii="Arial" w:eastAsia="Calibri" w:hAnsi="Arial" w:cs="Arial"/>
                <w:color w:val="000000" w:themeColor="text1"/>
              </w:rPr>
              <w:t>connect</w:t>
            </w:r>
            <w:proofErr w:type="gramEnd"/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staff </w:t>
            </w:r>
            <w:r w:rsidR="4ECDFA8E" w:rsidRPr="006709C4">
              <w:rPr>
                <w:rFonts w:ascii="Arial" w:eastAsia="Calibri" w:hAnsi="Arial" w:cs="Arial"/>
                <w:color w:val="000000" w:themeColor="text1"/>
              </w:rPr>
              <w:t>and</w:t>
            </w:r>
            <w:r w:rsidR="357C4915" w:rsidRPr="006709C4">
              <w:rPr>
                <w:rFonts w:ascii="Arial" w:eastAsia="Calibri" w:hAnsi="Arial" w:cs="Arial"/>
                <w:color w:val="000000" w:themeColor="text1"/>
              </w:rPr>
              <w:t xml:space="preserve">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promote gender and race equality across the Trust.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041A5F0" w14:textId="3AA1218D" w:rsidR="00AA7C7D" w:rsidRPr="006709C4" w:rsidRDefault="00AA7C7D" w:rsidP="000E6825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hAnsi="Arial" w:cs="Arial"/>
              </w:rPr>
              <w:t>Starting March 2024</w:t>
            </w:r>
          </w:p>
        </w:tc>
      </w:tr>
      <w:tr w:rsidR="00AA7C7D" w:rsidRPr="006709C4" w14:paraId="593D51DD" w14:textId="77777777" w:rsidTr="2A35AA74">
        <w:trPr>
          <w:trHeight w:val="5698"/>
        </w:trPr>
        <w:tc>
          <w:tcPr>
            <w:tcW w:w="2310" w:type="dxa"/>
            <w:shd w:val="clear" w:color="auto" w:fill="FFFFFF" w:themeFill="background1"/>
          </w:tcPr>
          <w:p w14:paraId="4ADB1457" w14:textId="6FB6B122" w:rsidR="00AA7C7D" w:rsidRPr="006709C4" w:rsidRDefault="00AA7C7D" w:rsidP="570E325A">
            <w:pPr>
              <w:jc w:val="center"/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Promoting behaviour and cultural change</w:t>
            </w:r>
          </w:p>
        </w:tc>
        <w:tc>
          <w:tcPr>
            <w:tcW w:w="6630" w:type="dxa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117062CD" w14:textId="20DC4EDA" w:rsidR="00AA7C7D" w:rsidRPr="006709C4" w:rsidRDefault="00AA7C7D" w:rsidP="7DB260B0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Reviewed and updated the whistleblowing policy to comply with the mandate for all NHS organisations to implement the NHS England National Freedom to Speak </w:t>
            </w:r>
            <w:proofErr w:type="gramStart"/>
            <w:r w:rsidRPr="006709C4">
              <w:rPr>
                <w:rFonts w:ascii="Arial" w:eastAsia="Calibri" w:hAnsi="Arial" w:cs="Arial"/>
                <w:color w:val="000000" w:themeColor="text1"/>
              </w:rPr>
              <w:t>Up</w:t>
            </w:r>
            <w:proofErr w:type="gramEnd"/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Policy.</w:t>
            </w:r>
          </w:p>
          <w:p w14:paraId="3EC9CFF2" w14:textId="77777777" w:rsidR="00AA7C7D" w:rsidRPr="006709C4" w:rsidRDefault="00AA7C7D" w:rsidP="00AA7C7D">
            <w:pPr>
              <w:pStyle w:val="ListParagraph"/>
              <w:rPr>
                <w:rFonts w:ascii="Arial" w:eastAsia="Calibri" w:hAnsi="Arial" w:cs="Arial"/>
                <w:color w:val="000000" w:themeColor="text1"/>
              </w:rPr>
            </w:pPr>
          </w:p>
          <w:p w14:paraId="1D8F88E0" w14:textId="5F3B4D14" w:rsidR="00AA7C7D" w:rsidRPr="006709C4" w:rsidRDefault="00AA7C7D" w:rsidP="7DB260B0">
            <w:pPr>
              <w:pStyle w:val="ListParagraph"/>
              <w:numPr>
                <w:ilvl w:val="0"/>
                <w:numId w:val="2"/>
              </w:numPr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Conducted in-person and virtual focus sessions to promote the Trust's zero-tolerance approach to poor and/or abusive behaviour. In addition, promoted channels available to staff for reporting incidents, and how to do so anonymously.</w:t>
            </w:r>
          </w:p>
          <w:p w14:paraId="4F8A2CC4" w14:textId="77777777" w:rsidR="00AA7C7D" w:rsidRPr="006709C4" w:rsidRDefault="00AA7C7D" w:rsidP="00AA7C7D">
            <w:pPr>
              <w:pStyle w:val="ListParagraph"/>
              <w:rPr>
                <w:rFonts w:ascii="Arial" w:eastAsia="Calibri" w:hAnsi="Arial" w:cs="Arial"/>
                <w:color w:val="000000" w:themeColor="text1"/>
              </w:rPr>
            </w:pPr>
          </w:p>
          <w:p w14:paraId="02641293" w14:textId="69258DB2" w:rsidR="00AA7C7D" w:rsidRPr="006709C4" w:rsidRDefault="72F346C4" w:rsidP="7DB260B0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Embedded the 'no space for abuse' campaign, along</w:t>
            </w:r>
            <w:r w:rsidR="070C495C" w:rsidRPr="006709C4">
              <w:rPr>
                <w:rFonts w:ascii="Arial" w:eastAsia="Calibri" w:hAnsi="Arial" w:cs="Arial"/>
                <w:color w:val="000000" w:themeColor="text1"/>
              </w:rPr>
              <w:t xml:space="preserve">side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sexual safety training.</w:t>
            </w:r>
          </w:p>
          <w:p w14:paraId="762DF9AA" w14:textId="79C9A454" w:rsidR="63608384" w:rsidRPr="006709C4" w:rsidRDefault="63608384" w:rsidP="63608384">
            <w:pPr>
              <w:pStyle w:val="ListParagraph"/>
              <w:ind w:right="-20"/>
              <w:rPr>
                <w:rFonts w:ascii="Arial" w:eastAsia="Calibri" w:hAnsi="Arial" w:cs="Arial"/>
                <w:color w:val="000000" w:themeColor="text1"/>
              </w:rPr>
            </w:pPr>
          </w:p>
          <w:p w14:paraId="028FD883" w14:textId="6608C613" w:rsidR="00AA7C7D" w:rsidRPr="006709C4" w:rsidRDefault="72F346C4" w:rsidP="7DB260B0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Reviewed and updated the Equality, Diversity and Inclusion (ED&amp;I) training</w:t>
            </w:r>
            <w:r w:rsidR="296F5B5F" w:rsidRPr="006709C4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which now includes an 'active bystander module'.</w:t>
            </w:r>
          </w:p>
          <w:p w14:paraId="020035D5" w14:textId="77777777" w:rsidR="00AA7C7D" w:rsidRPr="006709C4" w:rsidRDefault="00AA7C7D" w:rsidP="00AA7C7D">
            <w:pPr>
              <w:pStyle w:val="ListParagraph"/>
              <w:ind w:right="-20"/>
              <w:rPr>
                <w:rFonts w:ascii="Arial" w:eastAsia="Calibri" w:hAnsi="Arial" w:cs="Arial"/>
              </w:rPr>
            </w:pPr>
          </w:p>
          <w:p w14:paraId="41626959" w14:textId="76A7D962" w:rsidR="00AA7C7D" w:rsidRPr="006709C4" w:rsidRDefault="72F346C4" w:rsidP="7DB260B0">
            <w:pPr>
              <w:pStyle w:val="ListParagraph"/>
              <w:numPr>
                <w:ilvl w:val="0"/>
                <w:numId w:val="2"/>
              </w:numPr>
              <w:ind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Implemented a 'fair and just culture' which is reflected in all policies and procedures</w:t>
            </w:r>
            <w:r w:rsidR="6CAFE8E0" w:rsidRPr="006709C4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ensur</w:t>
            </w:r>
            <w:r w:rsidR="6316DE8C" w:rsidRPr="006709C4">
              <w:rPr>
                <w:rFonts w:ascii="Arial" w:eastAsia="Calibri" w:hAnsi="Arial" w:cs="Arial"/>
                <w:color w:val="000000" w:themeColor="text1"/>
              </w:rPr>
              <w:t>ing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best practice in supporting staff experience</w:t>
            </w:r>
            <w:r w:rsidR="74DD9D4E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4290DDA8" w14:textId="2EC2E537" w:rsidR="00AA7C7D" w:rsidRPr="006709C4" w:rsidRDefault="00AA7C7D" w:rsidP="570E325A">
            <w:pPr>
              <w:rPr>
                <w:rFonts w:ascii="Arial" w:eastAsia="Calibri" w:hAnsi="Arial" w:cs="Arial"/>
                <w:color w:val="000000" w:themeColor="text1"/>
              </w:rPr>
            </w:pP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065FE657" w14:textId="30F89DB1" w:rsidR="00AA7C7D" w:rsidRPr="006709C4" w:rsidRDefault="72F346C4" w:rsidP="5F493D7E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Promote wellbeing at work and related initiatives through health and wellbeing </w:t>
            </w:r>
            <w:r w:rsidR="1E9D0AC2" w:rsidRPr="006709C4">
              <w:rPr>
                <w:rFonts w:ascii="Arial" w:eastAsia="Calibri" w:hAnsi="Arial" w:cs="Arial"/>
                <w:color w:val="000000" w:themeColor="text1"/>
              </w:rPr>
              <w:t>events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, </w:t>
            </w:r>
            <w:r w:rsidR="45FC214F" w:rsidRPr="006709C4">
              <w:rPr>
                <w:rFonts w:ascii="Arial" w:eastAsia="Calibri" w:hAnsi="Arial" w:cs="Arial"/>
                <w:color w:val="000000" w:themeColor="text1"/>
              </w:rPr>
              <w:t xml:space="preserve">including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underrepresented roles such as medical staff and senior managers</w:t>
            </w:r>
            <w:r w:rsidR="7C3CC68A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5A2953B9" w14:textId="14B16572" w:rsidR="00AA7C7D" w:rsidRPr="006709C4" w:rsidRDefault="00AA7C7D" w:rsidP="5F493D7E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</w:p>
          <w:p w14:paraId="676B4B78" w14:textId="4A3E2606" w:rsidR="00AA7C7D" w:rsidRPr="006709C4" w:rsidRDefault="60237639" w:rsidP="5F493D7E">
            <w:pPr>
              <w:ind w:left="-20" w:right="-20"/>
              <w:rPr>
                <w:rFonts w:ascii="Arial" w:eastAsia="Calibri" w:hAnsi="Arial" w:cs="Arial"/>
                <w:color w:val="000000" w:themeColor="text1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Facilitate </w:t>
            </w:r>
            <w:r w:rsidR="2760F54A" w:rsidRPr="006709C4">
              <w:rPr>
                <w:rFonts w:ascii="Arial" w:eastAsia="Calibri" w:hAnsi="Arial" w:cs="Arial"/>
                <w:color w:val="000000" w:themeColor="text1"/>
              </w:rPr>
              <w:t>health and wellbeing initiatives</w:t>
            </w:r>
            <w:r w:rsidR="7D13FE38" w:rsidRPr="006709C4">
              <w:rPr>
                <w:rFonts w:ascii="Arial" w:eastAsia="Calibri" w:hAnsi="Arial" w:cs="Arial"/>
                <w:color w:val="000000" w:themeColor="text1"/>
              </w:rPr>
              <w:t xml:space="preserve"> which promote </w:t>
            </w:r>
            <w:r w:rsidR="4389DA74" w:rsidRPr="006709C4">
              <w:rPr>
                <w:rFonts w:ascii="Arial" w:eastAsia="Calibri" w:hAnsi="Arial" w:cs="Arial"/>
                <w:color w:val="000000" w:themeColor="text1"/>
              </w:rPr>
              <w:t>behaviour and cultural change</w:t>
            </w:r>
            <w:r w:rsidR="3F75E8D2" w:rsidRPr="006709C4">
              <w:rPr>
                <w:rFonts w:ascii="Arial" w:eastAsia="Calibri" w:hAnsi="Arial" w:cs="Arial"/>
                <w:color w:val="000000" w:themeColor="text1"/>
              </w:rPr>
              <w:t xml:space="preserve">. These initiatives will </w:t>
            </w:r>
            <w:r w:rsidR="7D13FE38" w:rsidRPr="006709C4">
              <w:rPr>
                <w:rFonts w:ascii="Arial" w:eastAsia="Calibri" w:hAnsi="Arial" w:cs="Arial"/>
                <w:color w:val="000000" w:themeColor="text1"/>
              </w:rPr>
              <w:t>align to the NHS Health and Wellbeing Framework</w:t>
            </w:r>
            <w:r w:rsidR="3F96DF30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0F2B8CD9" w14:textId="5B64691B" w:rsidR="00AA7C7D" w:rsidRPr="006709C4" w:rsidRDefault="00AA7C7D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Starting May 2024</w:t>
            </w:r>
          </w:p>
        </w:tc>
      </w:tr>
      <w:tr w:rsidR="570E325A" w:rsidRPr="006709C4" w14:paraId="62395470" w14:textId="77777777" w:rsidTr="2A35AA74">
        <w:trPr>
          <w:trHeight w:val="300"/>
        </w:trPr>
        <w:tc>
          <w:tcPr>
            <w:tcW w:w="2310" w:type="dxa"/>
            <w:vMerge w:val="restart"/>
            <w:shd w:val="clear" w:color="auto" w:fill="FFFFFF" w:themeFill="background1"/>
          </w:tcPr>
          <w:p w14:paraId="558DE943" w14:textId="5318A9F7" w:rsidR="6860E8FA" w:rsidRPr="006709C4" w:rsidRDefault="6860E8FA" w:rsidP="570E325A">
            <w:pPr>
              <w:jc w:val="center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lastRenderedPageBreak/>
              <w:t>Clinical Excellence Awards (CEA) and performance payments</w:t>
            </w:r>
          </w:p>
        </w:tc>
        <w:tc>
          <w:tcPr>
            <w:tcW w:w="6630" w:type="dxa"/>
            <w:vMerge w:val="restart"/>
            <w:tcBorders>
              <w:right w:val="single" w:sz="12" w:space="0" w:color="000000" w:themeColor="text1"/>
            </w:tcBorders>
            <w:shd w:val="clear" w:color="auto" w:fill="FFFFFF" w:themeFill="background1"/>
          </w:tcPr>
          <w:p w14:paraId="21CF9ADA" w14:textId="71F23DC0" w:rsidR="000E4801" w:rsidRPr="006709C4" w:rsidRDefault="000E4801" w:rsidP="000E4801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Monitored</w:t>
            </w:r>
            <w:r w:rsidR="6860E8FA" w:rsidRPr="006709C4">
              <w:rPr>
                <w:rFonts w:ascii="Arial" w:eastAsia="Calibri" w:hAnsi="Arial" w:cs="Arial"/>
                <w:color w:val="000000" w:themeColor="text1"/>
              </w:rPr>
              <w:t xml:space="preserve"> applications and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ensured that both</w:t>
            </w:r>
            <w:r w:rsidR="6860E8FA" w:rsidRPr="006709C4">
              <w:rPr>
                <w:rFonts w:ascii="Arial" w:eastAsia="Calibri" w:hAnsi="Arial" w:cs="Arial"/>
                <w:color w:val="000000" w:themeColor="text1"/>
              </w:rPr>
              <w:t xml:space="preserve"> men and women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had equal opportunity </w:t>
            </w:r>
            <w:r w:rsidR="6860E8FA" w:rsidRPr="006709C4">
              <w:rPr>
                <w:rFonts w:ascii="Arial" w:eastAsia="Calibri" w:hAnsi="Arial" w:cs="Arial"/>
                <w:color w:val="000000" w:themeColor="text1"/>
              </w:rPr>
              <w:t>to apply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for local and national awards</w:t>
            </w:r>
            <w:r w:rsidR="4C6152C8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  <w:p w14:paraId="366EADAB" w14:textId="77777777" w:rsidR="00B706DC" w:rsidRPr="006709C4" w:rsidRDefault="00B706DC" w:rsidP="00B706DC">
            <w:pPr>
              <w:pStyle w:val="ListParagraph"/>
              <w:rPr>
                <w:rFonts w:ascii="Arial" w:eastAsia="Calibri" w:hAnsi="Arial" w:cs="Arial"/>
              </w:rPr>
            </w:pPr>
          </w:p>
          <w:p w14:paraId="1B7A670D" w14:textId="2CEC4DA0" w:rsidR="6860E8FA" w:rsidRPr="006709C4" w:rsidRDefault="6860E8FA" w:rsidP="000E4801">
            <w:pPr>
              <w:pStyle w:val="ListParagraph"/>
              <w:numPr>
                <w:ilvl w:val="0"/>
                <w:numId w:val="1"/>
              </w:numPr>
              <w:rPr>
                <w:rFonts w:ascii="Arial" w:eastAsia="Calibri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</w:t>
            </w:r>
            <w:r w:rsidR="000E4801" w:rsidRPr="006709C4">
              <w:rPr>
                <w:rFonts w:ascii="Arial" w:eastAsia="Calibri" w:hAnsi="Arial" w:cs="Arial"/>
                <w:color w:val="000000" w:themeColor="text1"/>
              </w:rPr>
              <w:t>eported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 on those in receipt of CEA in the gender pay gap report.</w:t>
            </w: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49CDFEBC" w14:textId="12FF0254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Report on the numbers of men and women eligible for awards, as defined by the Advisory Committee on Clinical Excellence Awards (ACCEA).</w:t>
            </w:r>
            <w:r w:rsidR="40281491" w:rsidRPr="006709C4">
              <w:rPr>
                <w:rFonts w:ascii="Arial" w:eastAsia="Calibri" w:hAnsi="Arial" w:cs="Arial"/>
                <w:color w:val="000000" w:themeColor="text1"/>
              </w:rPr>
              <w:t xml:space="preserve">  Data to also include race and disability.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48D25433" w14:textId="385C43EB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March 2025</w:t>
            </w:r>
          </w:p>
        </w:tc>
      </w:tr>
      <w:tr w:rsidR="570E325A" w:rsidRPr="006709C4" w14:paraId="549BF8E1" w14:textId="77777777" w:rsidTr="2A35AA74">
        <w:trPr>
          <w:trHeight w:val="300"/>
        </w:trPr>
        <w:tc>
          <w:tcPr>
            <w:tcW w:w="2310" w:type="dxa"/>
            <w:vMerge/>
          </w:tcPr>
          <w:p w14:paraId="57550E53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6630" w:type="dxa"/>
            <w:vMerge/>
          </w:tcPr>
          <w:p w14:paraId="0FF4124B" w14:textId="77777777" w:rsidR="00EF5F85" w:rsidRPr="006709C4" w:rsidRDefault="00EF5F85">
            <w:pPr>
              <w:rPr>
                <w:rFonts w:ascii="Arial" w:hAnsi="Arial" w:cs="Arial"/>
              </w:rPr>
            </w:pPr>
          </w:p>
        </w:tc>
        <w:tc>
          <w:tcPr>
            <w:tcW w:w="5175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none" w:sz="8" w:space="0" w:color="000000" w:themeColor="text1"/>
            </w:tcBorders>
            <w:shd w:val="clear" w:color="auto" w:fill="FFFFFF" w:themeFill="background1"/>
          </w:tcPr>
          <w:p w14:paraId="7EC24C00" w14:textId="5BF19977" w:rsidR="570E325A" w:rsidRPr="006709C4" w:rsidRDefault="570E325A" w:rsidP="008747B0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 xml:space="preserve">Providing </w:t>
            </w:r>
            <w:r w:rsidR="000E6825" w:rsidRPr="006709C4">
              <w:rPr>
                <w:rFonts w:ascii="Arial" w:eastAsia="Calibri" w:hAnsi="Arial" w:cs="Arial"/>
                <w:color w:val="000000" w:themeColor="text1"/>
              </w:rPr>
              <w:t xml:space="preserve">that </w:t>
            </w:r>
            <w:r w:rsidRPr="006709C4">
              <w:rPr>
                <w:rFonts w:ascii="Arial" w:eastAsia="Calibri" w:hAnsi="Arial" w:cs="Arial"/>
                <w:color w:val="000000" w:themeColor="text1"/>
              </w:rPr>
              <w:t>CEA</w:t>
            </w:r>
            <w:r w:rsidR="299A0623" w:rsidRPr="006709C4">
              <w:rPr>
                <w:rFonts w:ascii="Arial" w:eastAsia="Calibri" w:hAnsi="Arial" w:cs="Arial"/>
                <w:color w:val="000000" w:themeColor="text1"/>
              </w:rPr>
              <w:t xml:space="preserve"> funding</w:t>
            </w:r>
            <w:r w:rsidR="000E6825" w:rsidRPr="006709C4">
              <w:rPr>
                <w:rFonts w:ascii="Arial" w:eastAsia="Calibri" w:hAnsi="Arial" w:cs="Arial"/>
                <w:color w:val="000000" w:themeColor="text1"/>
              </w:rPr>
              <w:t xml:space="preserve"> continues, review the way in which CEA is reward</w:t>
            </w:r>
            <w:r w:rsidR="00052724" w:rsidRPr="006709C4">
              <w:rPr>
                <w:rFonts w:ascii="Arial" w:eastAsia="Calibri" w:hAnsi="Arial" w:cs="Arial"/>
                <w:color w:val="000000" w:themeColor="text1"/>
              </w:rPr>
              <w:t>ed</w:t>
            </w:r>
            <w:r w:rsidR="008747B0" w:rsidRPr="006709C4">
              <w:rPr>
                <w:rFonts w:ascii="Arial" w:eastAsia="Calibri" w:hAnsi="Arial" w:cs="Arial"/>
                <w:color w:val="000000" w:themeColor="text1"/>
              </w:rPr>
              <w:t xml:space="preserve"> to ensure that it is done in a way that avoids </w:t>
            </w:r>
            <w:r w:rsidR="000E6825" w:rsidRPr="006709C4">
              <w:rPr>
                <w:rFonts w:ascii="Arial" w:eastAsia="Calibri" w:hAnsi="Arial" w:cs="Arial"/>
                <w:color w:val="000000" w:themeColor="text1"/>
              </w:rPr>
              <w:t>discrimination</w:t>
            </w:r>
            <w:r w:rsidR="008747B0" w:rsidRPr="006709C4">
              <w:rPr>
                <w:rFonts w:ascii="Arial" w:eastAsia="Calibri" w:hAnsi="Arial" w:cs="Arial"/>
                <w:color w:val="000000" w:themeColor="text1"/>
              </w:rPr>
              <w:t>.</w:t>
            </w:r>
          </w:p>
        </w:tc>
        <w:tc>
          <w:tcPr>
            <w:tcW w:w="2040" w:type="dxa"/>
            <w:tcBorders>
              <w:top w:val="single" w:sz="8" w:space="0" w:color="000000" w:themeColor="text1"/>
              <w:left w:val="non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FF" w:themeFill="background1"/>
          </w:tcPr>
          <w:p w14:paraId="336CB3BD" w14:textId="3B2F3669" w:rsidR="570E325A" w:rsidRPr="006709C4" w:rsidRDefault="570E325A" w:rsidP="570E325A">
            <w:pPr>
              <w:ind w:left="-20" w:right="-20"/>
              <w:rPr>
                <w:rFonts w:ascii="Arial" w:hAnsi="Arial" w:cs="Arial"/>
              </w:rPr>
            </w:pPr>
            <w:r w:rsidRPr="006709C4">
              <w:rPr>
                <w:rFonts w:ascii="Arial" w:eastAsia="Calibri" w:hAnsi="Arial" w:cs="Arial"/>
                <w:color w:val="000000" w:themeColor="text1"/>
              </w:rPr>
              <w:t>March 2025</w:t>
            </w:r>
          </w:p>
        </w:tc>
      </w:tr>
    </w:tbl>
    <w:p w14:paraId="070C9E95" w14:textId="784E0448" w:rsidR="570E325A" w:rsidRPr="006709C4" w:rsidRDefault="570E325A" w:rsidP="00B706DC">
      <w:pPr>
        <w:rPr>
          <w:rFonts w:ascii="Arial" w:hAnsi="Arial" w:cs="Arial"/>
        </w:rPr>
      </w:pPr>
    </w:p>
    <w:sectPr w:rsidR="570E325A" w:rsidRPr="006709C4" w:rsidSect="00E82C4D">
      <w:headerReference w:type="default" r:id="rId10"/>
      <w:pgSz w:w="16838" w:h="11906" w:orient="landscape"/>
      <w:pgMar w:top="720" w:right="283" w:bottom="720" w:left="283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AAB0517" w16cex:dateUtc="2024-01-15T13:26:51.308Z"/>
  <w16cex:commentExtensible w16cex:durableId="54620132" w16cex:dateUtc="2024-01-15T13:35:16.891Z"/>
  <w16cex:commentExtensible w16cex:durableId="30F77318" w16cex:dateUtc="2024-01-15T13:44:24.519Z"/>
  <w16cex:commentExtensible w16cex:durableId="71E054D0" w16cex:dateUtc="2024-01-15T15:46:56.6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6D8F1C12" w16cid:durableId="1AAB0517"/>
  <w16cid:commentId w16cid:paraId="4B9A2563" w16cid:durableId="54620132"/>
  <w16cid:commentId w16cid:paraId="65FCA94D" w16cid:durableId="30F77318"/>
  <w16cid:commentId w16cid:paraId="3492E7AD" w16cid:durableId="71E054D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516F6D" w14:textId="77777777" w:rsidR="00BE2577" w:rsidRDefault="00BE2577" w:rsidP="00BE2577">
      <w:pPr>
        <w:spacing w:after="0" w:line="240" w:lineRule="auto"/>
      </w:pPr>
      <w:r>
        <w:separator/>
      </w:r>
    </w:p>
  </w:endnote>
  <w:endnote w:type="continuationSeparator" w:id="0">
    <w:p w14:paraId="62C3F782" w14:textId="77777777" w:rsidR="00BE2577" w:rsidRDefault="00BE2577" w:rsidP="00BE2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387D734" w14:textId="77777777" w:rsidR="00BE2577" w:rsidRDefault="00BE2577" w:rsidP="00BE2577">
      <w:pPr>
        <w:spacing w:after="0" w:line="240" w:lineRule="auto"/>
      </w:pPr>
      <w:r>
        <w:separator/>
      </w:r>
    </w:p>
  </w:footnote>
  <w:footnote w:type="continuationSeparator" w:id="0">
    <w:p w14:paraId="400406DC" w14:textId="77777777" w:rsidR="00BE2577" w:rsidRDefault="00BE2577" w:rsidP="00BE25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7CC095" w14:textId="34DFA1AB" w:rsidR="00B61E2A" w:rsidRDefault="005F51B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62784377" wp14:editId="0B697332">
          <wp:simplePos x="0" y="0"/>
          <wp:positionH relativeFrom="column">
            <wp:posOffset>8748395</wp:posOffset>
          </wp:positionH>
          <wp:positionV relativeFrom="paragraph">
            <wp:posOffset>-227330</wp:posOffset>
          </wp:positionV>
          <wp:extent cx="1549400" cy="413385"/>
          <wp:effectExtent l="0" t="0" r="0" b="5715"/>
          <wp:wrapTight wrapText="bothSides">
            <wp:wrapPolygon edited="0">
              <wp:start x="0" y="0"/>
              <wp:lineTo x="0" y="20903"/>
              <wp:lineTo x="21246" y="20903"/>
              <wp:lineTo x="2124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PUT Logo - For Printed Materials Only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4133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86E4FF8" w14:textId="5321BBC9" w:rsidR="00BE2577" w:rsidRDefault="00BE2577">
    <w:pPr>
      <w:pStyle w:val="Header"/>
    </w:pPr>
  </w:p>
</w:hdr>
</file>

<file path=word/intelligence2.xml><?xml version="1.0" encoding="utf-8"?>
<int2:intelligence xmlns:int2="http://schemas.microsoft.com/office/intelligence/2020/intelligence">
  <int2:observations>
    <int2:bookmark int2:bookmarkName="_Int_9iIZK83L" int2:invalidationBookmarkName="" int2:hashCode="PYCXb+CI/28x4q" int2:id="MwonO9Cm">
      <int2:state int2:type="AugLoop_Text_Critique" int2:value="Rejected"/>
    </int2:bookmark>
  </int2:observations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29A2B"/>
    <w:multiLevelType w:val="hybridMultilevel"/>
    <w:tmpl w:val="28467128"/>
    <w:lvl w:ilvl="0" w:tplc="FB1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3EEB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2A427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D09F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7820C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354E2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663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DCEBE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4D8FC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4EFEE"/>
    <w:multiLevelType w:val="hybridMultilevel"/>
    <w:tmpl w:val="06B49096"/>
    <w:lvl w:ilvl="0" w:tplc="6EE82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AA11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284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31478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E6023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8EF6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2EC45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C8C68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889E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3B12D3"/>
    <w:multiLevelType w:val="hybridMultilevel"/>
    <w:tmpl w:val="B3B6C246"/>
    <w:lvl w:ilvl="0" w:tplc="08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3" w15:restartNumberingAfterBreak="0">
    <w:nsid w:val="26D699E4"/>
    <w:multiLevelType w:val="hybridMultilevel"/>
    <w:tmpl w:val="023E81DA"/>
    <w:lvl w:ilvl="0" w:tplc="06961ED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1A00E98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E0A78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689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D440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F295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E29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4ED4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E44D7"/>
    <w:multiLevelType w:val="hybridMultilevel"/>
    <w:tmpl w:val="98161FB4"/>
    <w:lvl w:ilvl="0" w:tplc="C49E91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7EDB9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C22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14E3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A854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FD68E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163D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9C193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142D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401DF9"/>
    <w:multiLevelType w:val="hybridMultilevel"/>
    <w:tmpl w:val="6C403D0C"/>
    <w:lvl w:ilvl="0" w:tplc="717405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B4209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C22B4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CF264A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86611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442E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385D5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A454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56B6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CF7AD9"/>
    <w:multiLevelType w:val="hybridMultilevel"/>
    <w:tmpl w:val="35A4568E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7E4D32A8"/>
    <w:multiLevelType w:val="hybridMultilevel"/>
    <w:tmpl w:val="36B2DD28"/>
    <w:lvl w:ilvl="0" w:tplc="FB102F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2C4D"/>
    <w:rsid w:val="00052724"/>
    <w:rsid w:val="000E4801"/>
    <w:rsid w:val="000E6825"/>
    <w:rsid w:val="00467F13"/>
    <w:rsid w:val="00490468"/>
    <w:rsid w:val="005F51B8"/>
    <w:rsid w:val="006709C4"/>
    <w:rsid w:val="006A21DD"/>
    <w:rsid w:val="007101BF"/>
    <w:rsid w:val="00728179"/>
    <w:rsid w:val="007D36AC"/>
    <w:rsid w:val="008747B0"/>
    <w:rsid w:val="00AA7C7D"/>
    <w:rsid w:val="00B61E2A"/>
    <w:rsid w:val="00B706DC"/>
    <w:rsid w:val="00B8239A"/>
    <w:rsid w:val="00BE2577"/>
    <w:rsid w:val="00C4EA01"/>
    <w:rsid w:val="00D3485F"/>
    <w:rsid w:val="00E82C4D"/>
    <w:rsid w:val="00E91D91"/>
    <w:rsid w:val="00EA2253"/>
    <w:rsid w:val="00EF5F85"/>
    <w:rsid w:val="00F300FF"/>
    <w:rsid w:val="00F36545"/>
    <w:rsid w:val="01832F60"/>
    <w:rsid w:val="018A71FB"/>
    <w:rsid w:val="01908F0B"/>
    <w:rsid w:val="01D6B482"/>
    <w:rsid w:val="01D6DE8D"/>
    <w:rsid w:val="0223FD28"/>
    <w:rsid w:val="02D67C54"/>
    <w:rsid w:val="02D7119D"/>
    <w:rsid w:val="02F20F5C"/>
    <w:rsid w:val="030216B3"/>
    <w:rsid w:val="032CFDB6"/>
    <w:rsid w:val="035BE895"/>
    <w:rsid w:val="03A748E9"/>
    <w:rsid w:val="04D7B5CE"/>
    <w:rsid w:val="04DDD957"/>
    <w:rsid w:val="06694A3D"/>
    <w:rsid w:val="0685C73C"/>
    <w:rsid w:val="06965054"/>
    <w:rsid w:val="069F3AD6"/>
    <w:rsid w:val="06A6AD07"/>
    <w:rsid w:val="06D7C474"/>
    <w:rsid w:val="06F76E4B"/>
    <w:rsid w:val="070C495C"/>
    <w:rsid w:val="07342B85"/>
    <w:rsid w:val="079E4B7C"/>
    <w:rsid w:val="07CE1C82"/>
    <w:rsid w:val="07F1085F"/>
    <w:rsid w:val="087EA78E"/>
    <w:rsid w:val="08C17ACE"/>
    <w:rsid w:val="08D89941"/>
    <w:rsid w:val="09A91AF6"/>
    <w:rsid w:val="09B53DC1"/>
    <w:rsid w:val="0AA73DFC"/>
    <w:rsid w:val="0AB693D8"/>
    <w:rsid w:val="0AD5EC3E"/>
    <w:rsid w:val="0B44EB57"/>
    <w:rsid w:val="0B4C3A7C"/>
    <w:rsid w:val="0B6F4E8B"/>
    <w:rsid w:val="0BB64850"/>
    <w:rsid w:val="0BC0E844"/>
    <w:rsid w:val="0BC7F1DF"/>
    <w:rsid w:val="0BF58C1E"/>
    <w:rsid w:val="0C079CA8"/>
    <w:rsid w:val="0C1631C3"/>
    <w:rsid w:val="0C78B496"/>
    <w:rsid w:val="0C88DCE6"/>
    <w:rsid w:val="0CB0E67F"/>
    <w:rsid w:val="0CDA2F55"/>
    <w:rsid w:val="0CE0BBB8"/>
    <w:rsid w:val="0D215814"/>
    <w:rsid w:val="0D29153D"/>
    <w:rsid w:val="0D2CA7EC"/>
    <w:rsid w:val="0D5218B1"/>
    <w:rsid w:val="0D5D7399"/>
    <w:rsid w:val="0D9B5FBB"/>
    <w:rsid w:val="0E4A7590"/>
    <w:rsid w:val="0E4CB6E0"/>
    <w:rsid w:val="0ECCD1F9"/>
    <w:rsid w:val="105291BA"/>
    <w:rsid w:val="10595157"/>
    <w:rsid w:val="106C2FD8"/>
    <w:rsid w:val="10797F14"/>
    <w:rsid w:val="10F43628"/>
    <w:rsid w:val="117D990C"/>
    <w:rsid w:val="118E21ED"/>
    <w:rsid w:val="12566C74"/>
    <w:rsid w:val="1276DE2C"/>
    <w:rsid w:val="12910E66"/>
    <w:rsid w:val="12BF8494"/>
    <w:rsid w:val="1338F9C9"/>
    <w:rsid w:val="137A6070"/>
    <w:rsid w:val="13D4127E"/>
    <w:rsid w:val="13DDDED9"/>
    <w:rsid w:val="13F0968A"/>
    <w:rsid w:val="142BD6EA"/>
    <w:rsid w:val="1480CA93"/>
    <w:rsid w:val="14B539CE"/>
    <w:rsid w:val="14BBF864"/>
    <w:rsid w:val="151630D1"/>
    <w:rsid w:val="151A4986"/>
    <w:rsid w:val="155853A9"/>
    <w:rsid w:val="1579AF3A"/>
    <w:rsid w:val="15AA3ADE"/>
    <w:rsid w:val="16510A2F"/>
    <w:rsid w:val="16DD4050"/>
    <w:rsid w:val="178A2BEC"/>
    <w:rsid w:val="17EC2DD2"/>
    <w:rsid w:val="180761CD"/>
    <w:rsid w:val="1824E9E5"/>
    <w:rsid w:val="1831E0AC"/>
    <w:rsid w:val="1834A936"/>
    <w:rsid w:val="18BCD194"/>
    <w:rsid w:val="1988AAF1"/>
    <w:rsid w:val="198F6987"/>
    <w:rsid w:val="199F902D"/>
    <w:rsid w:val="19C44005"/>
    <w:rsid w:val="19E296B6"/>
    <w:rsid w:val="19E9A1F4"/>
    <w:rsid w:val="1A3B7799"/>
    <w:rsid w:val="1A81F011"/>
    <w:rsid w:val="1ABDBF1C"/>
    <w:rsid w:val="1AC9F660"/>
    <w:rsid w:val="1AEACA1D"/>
    <w:rsid w:val="1B23CE94"/>
    <w:rsid w:val="1B2B39E8"/>
    <w:rsid w:val="1B4E098F"/>
    <w:rsid w:val="1B857255"/>
    <w:rsid w:val="1B9097E9"/>
    <w:rsid w:val="1C257FA4"/>
    <w:rsid w:val="1C587A6F"/>
    <w:rsid w:val="1CA00FFB"/>
    <w:rsid w:val="1CB9FD57"/>
    <w:rsid w:val="1CC04BB3"/>
    <w:rsid w:val="1D2142B6"/>
    <w:rsid w:val="1D3C00F7"/>
    <w:rsid w:val="1D84C11F"/>
    <w:rsid w:val="1DA58209"/>
    <w:rsid w:val="1DC17E59"/>
    <w:rsid w:val="1DCE3041"/>
    <w:rsid w:val="1DF44AD0"/>
    <w:rsid w:val="1E526263"/>
    <w:rsid w:val="1E942B69"/>
    <w:rsid w:val="1E9D0AC2"/>
    <w:rsid w:val="1EA72E23"/>
    <w:rsid w:val="1F0BFA62"/>
    <w:rsid w:val="1F31596B"/>
    <w:rsid w:val="1FB36A55"/>
    <w:rsid w:val="205860D4"/>
    <w:rsid w:val="20B402D4"/>
    <w:rsid w:val="20ECED85"/>
    <w:rsid w:val="21702208"/>
    <w:rsid w:val="21A419C4"/>
    <w:rsid w:val="21C2065A"/>
    <w:rsid w:val="21F21BF2"/>
    <w:rsid w:val="22578EEA"/>
    <w:rsid w:val="22813502"/>
    <w:rsid w:val="22DAD631"/>
    <w:rsid w:val="22E9B2BB"/>
    <w:rsid w:val="23579548"/>
    <w:rsid w:val="23679C8C"/>
    <w:rsid w:val="242340FE"/>
    <w:rsid w:val="24732711"/>
    <w:rsid w:val="24A0C88E"/>
    <w:rsid w:val="24B8CB71"/>
    <w:rsid w:val="24D7C864"/>
    <w:rsid w:val="24F67209"/>
    <w:rsid w:val="25409F70"/>
    <w:rsid w:val="2583BD8F"/>
    <w:rsid w:val="25A54B70"/>
    <w:rsid w:val="25E86029"/>
    <w:rsid w:val="263C98EF"/>
    <w:rsid w:val="26A5AF4E"/>
    <w:rsid w:val="26DFC489"/>
    <w:rsid w:val="27411BD1"/>
    <w:rsid w:val="2760F54A"/>
    <w:rsid w:val="28053050"/>
    <w:rsid w:val="28DCEC32"/>
    <w:rsid w:val="28F2D46B"/>
    <w:rsid w:val="291EE353"/>
    <w:rsid w:val="2947F8FF"/>
    <w:rsid w:val="296F5B5F"/>
    <w:rsid w:val="297439B1"/>
    <w:rsid w:val="2997ED77"/>
    <w:rsid w:val="299A0623"/>
    <w:rsid w:val="29C9E32C"/>
    <w:rsid w:val="29DD5010"/>
    <w:rsid w:val="29DECB96"/>
    <w:rsid w:val="29EC3DA7"/>
    <w:rsid w:val="2A1F8478"/>
    <w:rsid w:val="2A241D8A"/>
    <w:rsid w:val="2A35AA74"/>
    <w:rsid w:val="2A45476F"/>
    <w:rsid w:val="2A5F2F8F"/>
    <w:rsid w:val="2A78BC93"/>
    <w:rsid w:val="2AF8060D"/>
    <w:rsid w:val="2B319592"/>
    <w:rsid w:val="2B3DDEBD"/>
    <w:rsid w:val="2B85D7CB"/>
    <w:rsid w:val="2C05E376"/>
    <w:rsid w:val="2C377143"/>
    <w:rsid w:val="2C7324FC"/>
    <w:rsid w:val="2C8879A3"/>
    <w:rsid w:val="2C9C1F8D"/>
    <w:rsid w:val="2D2641FD"/>
    <w:rsid w:val="2D61836D"/>
    <w:rsid w:val="2DFADDD6"/>
    <w:rsid w:val="2E244A04"/>
    <w:rsid w:val="2E794D9A"/>
    <w:rsid w:val="2F8579B7"/>
    <w:rsid w:val="2F8962DD"/>
    <w:rsid w:val="2F8A9D02"/>
    <w:rsid w:val="2FA250E6"/>
    <w:rsid w:val="2FC01A65"/>
    <w:rsid w:val="300CEFB6"/>
    <w:rsid w:val="300FC045"/>
    <w:rsid w:val="3041DB84"/>
    <w:rsid w:val="305BDC63"/>
    <w:rsid w:val="30CB844F"/>
    <w:rsid w:val="30E7FCA2"/>
    <w:rsid w:val="30E8AAD5"/>
    <w:rsid w:val="310F7056"/>
    <w:rsid w:val="3142EAD2"/>
    <w:rsid w:val="3181AD77"/>
    <w:rsid w:val="319B777D"/>
    <w:rsid w:val="31FB1852"/>
    <w:rsid w:val="323BAF54"/>
    <w:rsid w:val="3248A0BD"/>
    <w:rsid w:val="327D75C5"/>
    <w:rsid w:val="3283CE78"/>
    <w:rsid w:val="32919448"/>
    <w:rsid w:val="333E9BCD"/>
    <w:rsid w:val="3374B254"/>
    <w:rsid w:val="33772CC4"/>
    <w:rsid w:val="33797C46"/>
    <w:rsid w:val="3381B9EC"/>
    <w:rsid w:val="339E0611"/>
    <w:rsid w:val="33E68730"/>
    <w:rsid w:val="3479AC40"/>
    <w:rsid w:val="347C8F35"/>
    <w:rsid w:val="356A4F78"/>
    <w:rsid w:val="357C4915"/>
    <w:rsid w:val="35A9B231"/>
    <w:rsid w:val="3601A1B3"/>
    <w:rsid w:val="3603CB16"/>
    <w:rsid w:val="3637EF89"/>
    <w:rsid w:val="36430DFE"/>
    <w:rsid w:val="366EE8A0"/>
    <w:rsid w:val="36A991C2"/>
    <w:rsid w:val="36B11D08"/>
    <w:rsid w:val="36B56118"/>
    <w:rsid w:val="36F1AAE0"/>
    <w:rsid w:val="3701006B"/>
    <w:rsid w:val="371993E7"/>
    <w:rsid w:val="371A42BC"/>
    <w:rsid w:val="37321AB3"/>
    <w:rsid w:val="37404966"/>
    <w:rsid w:val="37458292"/>
    <w:rsid w:val="37573F9B"/>
    <w:rsid w:val="37A212C4"/>
    <w:rsid w:val="37D2B075"/>
    <w:rsid w:val="380AB901"/>
    <w:rsid w:val="383F1DDE"/>
    <w:rsid w:val="38926D80"/>
    <w:rsid w:val="394477B2"/>
    <w:rsid w:val="396EEA31"/>
    <w:rsid w:val="39852F49"/>
    <w:rsid w:val="39B83226"/>
    <w:rsid w:val="39E85050"/>
    <w:rsid w:val="3A29A782"/>
    <w:rsid w:val="3A4B0AFB"/>
    <w:rsid w:val="3A92CCBC"/>
    <w:rsid w:val="3AF3EE27"/>
    <w:rsid w:val="3AF77C74"/>
    <w:rsid w:val="3B83C4DD"/>
    <w:rsid w:val="3B8D3155"/>
    <w:rsid w:val="3C1E6984"/>
    <w:rsid w:val="3C48867D"/>
    <w:rsid w:val="3C54EBB9"/>
    <w:rsid w:val="3C8FBE88"/>
    <w:rsid w:val="3CB60504"/>
    <w:rsid w:val="3CD0DCB3"/>
    <w:rsid w:val="3D032887"/>
    <w:rsid w:val="3D1F953E"/>
    <w:rsid w:val="3D205E8C"/>
    <w:rsid w:val="3D2C9022"/>
    <w:rsid w:val="3D70FA31"/>
    <w:rsid w:val="3D9D4FFE"/>
    <w:rsid w:val="3DCF1B63"/>
    <w:rsid w:val="3DFF8814"/>
    <w:rsid w:val="3E05AF32"/>
    <w:rsid w:val="3E2B8EE9"/>
    <w:rsid w:val="3E389F6C"/>
    <w:rsid w:val="3E7703C7"/>
    <w:rsid w:val="3E788DBC"/>
    <w:rsid w:val="3E7A6872"/>
    <w:rsid w:val="3E977B28"/>
    <w:rsid w:val="3EC072FD"/>
    <w:rsid w:val="3EC86083"/>
    <w:rsid w:val="3EE2049D"/>
    <w:rsid w:val="3F005919"/>
    <w:rsid w:val="3F72B367"/>
    <w:rsid w:val="3F75E8D2"/>
    <w:rsid w:val="3F96DF30"/>
    <w:rsid w:val="3FAFF1E0"/>
    <w:rsid w:val="3FB33D33"/>
    <w:rsid w:val="3FE6968C"/>
    <w:rsid w:val="400F230F"/>
    <w:rsid w:val="40281491"/>
    <w:rsid w:val="4057FF4E"/>
    <w:rsid w:val="4061BEB5"/>
    <w:rsid w:val="4106BC25"/>
    <w:rsid w:val="41F3CFAF"/>
    <w:rsid w:val="42594FA6"/>
    <w:rsid w:val="4278471E"/>
    <w:rsid w:val="42E2C8B0"/>
    <w:rsid w:val="4317F452"/>
    <w:rsid w:val="433D8D02"/>
    <w:rsid w:val="4389DA74"/>
    <w:rsid w:val="442DB63B"/>
    <w:rsid w:val="4474F0B6"/>
    <w:rsid w:val="44AF5E23"/>
    <w:rsid w:val="4537A207"/>
    <w:rsid w:val="45FC214F"/>
    <w:rsid w:val="4652F57F"/>
    <w:rsid w:val="46F1C8B7"/>
    <w:rsid w:val="47435A80"/>
    <w:rsid w:val="475CD54C"/>
    <w:rsid w:val="47741470"/>
    <w:rsid w:val="4793691B"/>
    <w:rsid w:val="479F8BE6"/>
    <w:rsid w:val="47DE3FB8"/>
    <w:rsid w:val="4888E6E3"/>
    <w:rsid w:val="489D13CE"/>
    <w:rsid w:val="48F36838"/>
    <w:rsid w:val="4911CE0A"/>
    <w:rsid w:val="4923BD2B"/>
    <w:rsid w:val="492CF26F"/>
    <w:rsid w:val="4967564E"/>
    <w:rsid w:val="49CE3FD0"/>
    <w:rsid w:val="4A06CF1A"/>
    <w:rsid w:val="4A24B744"/>
    <w:rsid w:val="4AD72CA8"/>
    <w:rsid w:val="4AE5F8A2"/>
    <w:rsid w:val="4B0BFEBA"/>
    <w:rsid w:val="4B2B96C7"/>
    <w:rsid w:val="4C0A6DA6"/>
    <w:rsid w:val="4C432070"/>
    <w:rsid w:val="4C6152C8"/>
    <w:rsid w:val="4D547613"/>
    <w:rsid w:val="4D56B160"/>
    <w:rsid w:val="4D98F44C"/>
    <w:rsid w:val="4DCFB0C2"/>
    <w:rsid w:val="4DD3CF64"/>
    <w:rsid w:val="4DDDF847"/>
    <w:rsid w:val="4DE77019"/>
    <w:rsid w:val="4E0ECD6A"/>
    <w:rsid w:val="4E9B4934"/>
    <w:rsid w:val="4ECB0852"/>
    <w:rsid w:val="4ECDFA8E"/>
    <w:rsid w:val="4ED401BF"/>
    <w:rsid w:val="4EE46331"/>
    <w:rsid w:val="4FBACE6D"/>
    <w:rsid w:val="4FE84008"/>
    <w:rsid w:val="507A54AE"/>
    <w:rsid w:val="50CEEA15"/>
    <w:rsid w:val="50DC40DF"/>
    <w:rsid w:val="50FD4C95"/>
    <w:rsid w:val="516E17A1"/>
    <w:rsid w:val="51A65A15"/>
    <w:rsid w:val="5204EA38"/>
    <w:rsid w:val="5207DC24"/>
    <w:rsid w:val="5208EB7B"/>
    <w:rsid w:val="520935A0"/>
    <w:rsid w:val="524C5CE2"/>
    <w:rsid w:val="5272068F"/>
    <w:rsid w:val="527EE483"/>
    <w:rsid w:val="528614E1"/>
    <w:rsid w:val="52B2BFDA"/>
    <w:rsid w:val="52BA0A2B"/>
    <w:rsid w:val="53013DAC"/>
    <w:rsid w:val="5310BB02"/>
    <w:rsid w:val="53385A46"/>
    <w:rsid w:val="533F21AF"/>
    <w:rsid w:val="534387BB"/>
    <w:rsid w:val="53C293B9"/>
    <w:rsid w:val="53CB5173"/>
    <w:rsid w:val="542605C1"/>
    <w:rsid w:val="5457C052"/>
    <w:rsid w:val="5463F923"/>
    <w:rsid w:val="54B8C46F"/>
    <w:rsid w:val="54E2ABA1"/>
    <w:rsid w:val="550B2E91"/>
    <w:rsid w:val="550B4768"/>
    <w:rsid w:val="553C4A7E"/>
    <w:rsid w:val="555F87F8"/>
    <w:rsid w:val="55B24386"/>
    <w:rsid w:val="5629C980"/>
    <w:rsid w:val="565574DF"/>
    <w:rsid w:val="56795801"/>
    <w:rsid w:val="56D1ECDE"/>
    <w:rsid w:val="56E57CF0"/>
    <w:rsid w:val="56F09B65"/>
    <w:rsid w:val="570D9E13"/>
    <w:rsid w:val="570E325A"/>
    <w:rsid w:val="571C235A"/>
    <w:rsid w:val="574DA6F0"/>
    <w:rsid w:val="57B7FF32"/>
    <w:rsid w:val="57C70F11"/>
    <w:rsid w:val="58152862"/>
    <w:rsid w:val="585816E8"/>
    <w:rsid w:val="589728BA"/>
    <w:rsid w:val="589F6EDE"/>
    <w:rsid w:val="58BC18D8"/>
    <w:rsid w:val="58FB31BB"/>
    <w:rsid w:val="598BBA50"/>
    <w:rsid w:val="5AB8724C"/>
    <w:rsid w:val="5ACA8F87"/>
    <w:rsid w:val="5B44812A"/>
    <w:rsid w:val="5B476B61"/>
    <w:rsid w:val="5B778215"/>
    <w:rsid w:val="5B9553DB"/>
    <w:rsid w:val="5B9A6FE9"/>
    <w:rsid w:val="5BD87E66"/>
    <w:rsid w:val="5BE62B71"/>
    <w:rsid w:val="5CE0518B"/>
    <w:rsid w:val="5D27C365"/>
    <w:rsid w:val="5D39806E"/>
    <w:rsid w:val="5DC65F15"/>
    <w:rsid w:val="5DE049EC"/>
    <w:rsid w:val="5E59167F"/>
    <w:rsid w:val="5E669387"/>
    <w:rsid w:val="5ED210AB"/>
    <w:rsid w:val="5F301521"/>
    <w:rsid w:val="5F493D7E"/>
    <w:rsid w:val="5FC93AB1"/>
    <w:rsid w:val="5FCF42AD"/>
    <w:rsid w:val="60237639"/>
    <w:rsid w:val="60B99C94"/>
    <w:rsid w:val="60CBE582"/>
    <w:rsid w:val="60D02E3D"/>
    <w:rsid w:val="60EC86B7"/>
    <w:rsid w:val="6159D837"/>
    <w:rsid w:val="616F0E12"/>
    <w:rsid w:val="61B29ECD"/>
    <w:rsid w:val="61CB2027"/>
    <w:rsid w:val="61DABBA8"/>
    <w:rsid w:val="61E62335"/>
    <w:rsid w:val="61E6B878"/>
    <w:rsid w:val="61FB3488"/>
    <w:rsid w:val="62556CF5"/>
    <w:rsid w:val="628BA792"/>
    <w:rsid w:val="62C54DEE"/>
    <w:rsid w:val="6316DE8C"/>
    <w:rsid w:val="63608384"/>
    <w:rsid w:val="63F41681"/>
    <w:rsid w:val="64038644"/>
    <w:rsid w:val="649178F9"/>
    <w:rsid w:val="652B69F6"/>
    <w:rsid w:val="65DAE0D2"/>
    <w:rsid w:val="65F1288B"/>
    <w:rsid w:val="6609B47D"/>
    <w:rsid w:val="66C7371A"/>
    <w:rsid w:val="66D192AA"/>
    <w:rsid w:val="671969A9"/>
    <w:rsid w:val="67C3C884"/>
    <w:rsid w:val="67DA5492"/>
    <w:rsid w:val="67E32F5A"/>
    <w:rsid w:val="6817F095"/>
    <w:rsid w:val="6860E8FA"/>
    <w:rsid w:val="686720A2"/>
    <w:rsid w:val="686A760C"/>
    <w:rsid w:val="687C3315"/>
    <w:rsid w:val="68B53A0A"/>
    <w:rsid w:val="68C4AE79"/>
    <w:rsid w:val="68C88BE4"/>
    <w:rsid w:val="69128194"/>
    <w:rsid w:val="6914F191"/>
    <w:rsid w:val="692817A7"/>
    <w:rsid w:val="692AE437"/>
    <w:rsid w:val="6971E0E3"/>
    <w:rsid w:val="6A326A27"/>
    <w:rsid w:val="6A607EDA"/>
    <w:rsid w:val="6A7167C6"/>
    <w:rsid w:val="6AC3FD43"/>
    <w:rsid w:val="6BB5DF75"/>
    <w:rsid w:val="6C11CAEA"/>
    <w:rsid w:val="6C4A4572"/>
    <w:rsid w:val="6C5712DC"/>
    <w:rsid w:val="6C9FC307"/>
    <w:rsid w:val="6CAFE8E0"/>
    <w:rsid w:val="6D43B0FF"/>
    <w:rsid w:val="6D5846C2"/>
    <w:rsid w:val="6D9C9CF8"/>
    <w:rsid w:val="6DA75246"/>
    <w:rsid w:val="6DC7370E"/>
    <w:rsid w:val="6E038B8B"/>
    <w:rsid w:val="6E250087"/>
    <w:rsid w:val="6E44515B"/>
    <w:rsid w:val="6E815CCB"/>
    <w:rsid w:val="6EBBB63B"/>
    <w:rsid w:val="6ED9B790"/>
    <w:rsid w:val="6EDA39C2"/>
    <w:rsid w:val="6F496BAC"/>
    <w:rsid w:val="6F8F0F59"/>
    <w:rsid w:val="6FF90FDD"/>
    <w:rsid w:val="700E7C5F"/>
    <w:rsid w:val="7039FBDE"/>
    <w:rsid w:val="70D7A833"/>
    <w:rsid w:val="71013301"/>
    <w:rsid w:val="7107AB56"/>
    <w:rsid w:val="7125D901"/>
    <w:rsid w:val="719B4529"/>
    <w:rsid w:val="71A2C878"/>
    <w:rsid w:val="71EAFA11"/>
    <w:rsid w:val="72044B60"/>
    <w:rsid w:val="7227C2BD"/>
    <w:rsid w:val="7231BD92"/>
    <w:rsid w:val="7251A6FC"/>
    <w:rsid w:val="727F60BB"/>
    <w:rsid w:val="72A37BB7"/>
    <w:rsid w:val="72A4810E"/>
    <w:rsid w:val="72F346C4"/>
    <w:rsid w:val="73797D4B"/>
    <w:rsid w:val="737BD513"/>
    <w:rsid w:val="738C759D"/>
    <w:rsid w:val="73AA4763"/>
    <w:rsid w:val="73C5CBC9"/>
    <w:rsid w:val="73F7A1CF"/>
    <w:rsid w:val="74489969"/>
    <w:rsid w:val="7462807C"/>
    <w:rsid w:val="7467FA84"/>
    <w:rsid w:val="748057F5"/>
    <w:rsid w:val="74AFDC8E"/>
    <w:rsid w:val="74DD9D4E"/>
    <w:rsid w:val="7517A574"/>
    <w:rsid w:val="75457A1F"/>
    <w:rsid w:val="75E38FAB"/>
    <w:rsid w:val="75E9D7E5"/>
    <w:rsid w:val="75F218CC"/>
    <w:rsid w:val="761397B6"/>
    <w:rsid w:val="761C2856"/>
    <w:rsid w:val="762FB2E8"/>
    <w:rsid w:val="76E14A80"/>
    <w:rsid w:val="7766335B"/>
    <w:rsid w:val="77C3CEC3"/>
    <w:rsid w:val="77F7ACF1"/>
    <w:rsid w:val="77FB3457"/>
    <w:rsid w:val="7827ED25"/>
    <w:rsid w:val="78458714"/>
    <w:rsid w:val="7866E25C"/>
    <w:rsid w:val="78AB46F3"/>
    <w:rsid w:val="78E2BFC9"/>
    <w:rsid w:val="799183B3"/>
    <w:rsid w:val="79EB1697"/>
    <w:rsid w:val="7A18EB42"/>
    <w:rsid w:val="7A32139F"/>
    <w:rsid w:val="7A542CF6"/>
    <w:rsid w:val="7A979E73"/>
    <w:rsid w:val="7BB4BBA3"/>
    <w:rsid w:val="7C16904F"/>
    <w:rsid w:val="7C3CC68A"/>
    <w:rsid w:val="7D0EB5AE"/>
    <w:rsid w:val="7D13FE38"/>
    <w:rsid w:val="7D1709B6"/>
    <w:rsid w:val="7D46DD65"/>
    <w:rsid w:val="7D6FC126"/>
    <w:rsid w:val="7D798452"/>
    <w:rsid w:val="7DA4D4FB"/>
    <w:rsid w:val="7DB260B0"/>
    <w:rsid w:val="7DB6EFA2"/>
    <w:rsid w:val="7DC352E5"/>
    <w:rsid w:val="7DC9EE09"/>
    <w:rsid w:val="7E0C78BC"/>
    <w:rsid w:val="7E26E91A"/>
    <w:rsid w:val="7E3B0D84"/>
    <w:rsid w:val="7E79698D"/>
    <w:rsid w:val="7ED7E1ED"/>
    <w:rsid w:val="7EF2DB7A"/>
    <w:rsid w:val="7EF47376"/>
    <w:rsid w:val="7F52C003"/>
    <w:rsid w:val="7FB08C62"/>
    <w:rsid w:val="7FC30A9C"/>
    <w:rsid w:val="7FF56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C44A884"/>
  <w15:chartTrackingRefBased/>
  <w15:docId w15:val="{A9292AFE-BC4F-4B0E-9DE5-C436AB9E2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0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01BF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577"/>
  </w:style>
  <w:style w:type="paragraph" w:styleId="Footer">
    <w:name w:val="footer"/>
    <w:basedOn w:val="Normal"/>
    <w:link w:val="FooterChar"/>
    <w:uiPriority w:val="99"/>
    <w:unhideWhenUsed/>
    <w:rsid w:val="00BE25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5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6420252973394a17" Type="http://schemas.microsoft.com/office/2016/09/relationships/commentsIds" Target="commentsIds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ce8599dd73324bb8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2f0a54f5e8f64934" Type="http://schemas.microsoft.com/office/2020/10/relationships/intelligence" Target="intelligence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AE96D8BABD3A4480E9F8D0220DFA16" ma:contentTypeVersion="16" ma:contentTypeDescription="Create a new document." ma:contentTypeScope="" ma:versionID="cd2fc5f09e2f41590ff5afa4723f3621">
  <xsd:schema xmlns:xsd="http://www.w3.org/2001/XMLSchema" xmlns:xs="http://www.w3.org/2001/XMLSchema" xmlns:p="http://schemas.microsoft.com/office/2006/metadata/properties" xmlns:ns1="http://schemas.microsoft.com/sharepoint/v3" xmlns:ns2="43525d9a-5cbd-4b97-9b2e-fbd0f0d008ed" xmlns:ns3="9ff67f11-42c6-4abe-92f8-8dc5a5b14209" targetNamespace="http://schemas.microsoft.com/office/2006/metadata/properties" ma:root="true" ma:fieldsID="f68c031cb9b786f095019616029ce438" ns1:_="" ns2:_="" ns3:_="">
    <xsd:import namespace="http://schemas.microsoft.com/sharepoint/v3"/>
    <xsd:import namespace="43525d9a-5cbd-4b97-9b2e-fbd0f0d008ed"/>
    <xsd:import namespace="9ff67f11-42c6-4abe-92f8-8dc5a5b14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525d9a-5cbd-4b97-9b2e-fbd0f0d008e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67f11-42c6-4abe-92f8-8dc5a5b1420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5697b1db-5f01-4c1f-a9a9-5ed83f6f5b19}" ma:internalName="TaxCatchAll" ma:showField="CatchAllData" ma:web="9ff67f11-42c6-4abe-92f8-8dc5a5b1420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3525d9a-5cbd-4b97-9b2e-fbd0f0d008ed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9ff67f11-42c6-4abe-92f8-8dc5a5b14209" xsi:nil="true"/>
  </documentManagement>
</p:properties>
</file>

<file path=customXml/itemProps1.xml><?xml version="1.0" encoding="utf-8"?>
<ds:datastoreItem xmlns:ds="http://schemas.openxmlformats.org/officeDocument/2006/customXml" ds:itemID="{53329A38-D4AB-49B0-9106-F538F83918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0226ECB-A312-45F4-8242-A2880F982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3525d9a-5cbd-4b97-9b2e-fbd0f0d008ed"/>
    <ds:schemaRef ds:uri="9ff67f11-42c6-4abe-92f8-8dc5a5b14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4D18066-2566-4365-A3D7-562A0A883FAE}">
  <ds:schemaRefs>
    <ds:schemaRef ds:uri="http://purl.org/dc/elements/1.1/"/>
    <ds:schemaRef ds:uri="http://schemas.microsoft.com/office/2006/metadata/properties"/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9ff67f11-42c6-4abe-92f8-8dc5a5b14209"/>
    <ds:schemaRef ds:uri="43525d9a-5cbd-4b97-9b2e-fbd0f0d008ed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941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Partnership University NHS Foundation Trust</Company>
  <LinksUpToDate>false</LinksUpToDate>
  <CharactersWithSpaces>6299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Pearson Shayna (R1L) Essex Partnership</dc:creator>
  <cp:keywords/>
  <dc:description/>
  <cp:lastModifiedBy>Pearson Shayna (R1L) Essex Partnership</cp:lastModifiedBy>
  <cp:revision>2</cp:revision>
  <dcterms:created xsi:type="dcterms:W3CDTF">2024-03-27T12:58:00Z</dcterms:created>
  <dcterms:modified xsi:type="dcterms:W3CDTF">2024-03-27T12:58:00Z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0x01010023AE96D8BABD3A4480E9F8D0220DFA16</vt:lpwstr>
  </property>
  <property fmtid="{D5CDD505-2E9C-101B-9397-08002B2CF9AE}" pid="3" name="MediaServiceImageTags">
    <vt:lpwstr/>
  </property>
</Properties>
</file>